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line="360" w:lineRule="auto"/>
        <w:ind w:firstLine="0" w:firstLineChars="0"/>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近红外光谱仪及附属设备技术参数</w:t>
      </w:r>
    </w:p>
    <w:tbl>
      <w:tblPr>
        <w:tblStyle w:val="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0"/>
        <w:gridCol w:w="2009"/>
        <w:gridCol w:w="4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rFonts w:ascii="宋体" w:hAnsi="宋体" w:eastAsia="宋体" w:cs="宋体"/>
                <w:sz w:val="22"/>
              </w:rPr>
            </w:pPr>
            <w:r>
              <w:rPr>
                <w:rFonts w:hint="eastAsia" w:ascii="宋体" w:hAnsi="宋体" w:eastAsia="宋体" w:cs="宋体"/>
                <w:sz w:val="22"/>
                <w:highlight w:val="yellow"/>
              </w:rPr>
              <w:t>主设备型号</w:t>
            </w:r>
          </w:p>
        </w:tc>
        <w:tc>
          <w:tcPr>
            <w:tcW w:w="4013" w:type="pct"/>
            <w:gridSpan w:val="2"/>
            <w:vAlign w:val="center"/>
          </w:tcPr>
          <w:p>
            <w:pPr>
              <w:spacing w:line="360" w:lineRule="auto"/>
              <w:jc w:val="left"/>
              <w:rPr>
                <w:rFonts w:ascii="Times New Roman" w:hAnsi="Times New Roman" w:eastAsia="宋体" w:cs="Times New Roman"/>
                <w:sz w:val="22"/>
              </w:rPr>
            </w:pPr>
            <w:r>
              <w:rPr>
                <w:rFonts w:ascii="Times New Roman" w:hAnsi="Times New Roman" w:eastAsia="宋体" w:cs="Times New Roman"/>
                <w:color w:val="000000"/>
                <w:sz w:val="22"/>
              </w:rPr>
              <w:t>布鲁克MPA II  型傅立叶变换近红外红外光谱仪</w:t>
            </w:r>
            <w:r>
              <w:rPr>
                <w:rFonts w:hint="eastAsia" w:ascii="Times New Roman" w:hAnsi="Times New Roman" w:eastAsia="宋体" w:cs="Times New Roman"/>
                <w:color w:val="000000"/>
                <w:sz w:val="22"/>
              </w:rPr>
              <w:t>（固体样品检测）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restart"/>
            <w:vAlign w:val="center"/>
          </w:tcPr>
          <w:p>
            <w:pPr>
              <w:spacing w:line="360" w:lineRule="auto"/>
              <w:jc w:val="center"/>
              <w:rPr>
                <w:rFonts w:ascii="宋体" w:hAnsi="宋体" w:eastAsia="宋体" w:cs="宋体"/>
                <w:sz w:val="22"/>
              </w:rPr>
            </w:pPr>
            <w:r>
              <w:rPr>
                <w:rFonts w:hint="eastAsia" w:ascii="宋体" w:hAnsi="宋体" w:eastAsia="宋体" w:cs="宋体"/>
                <w:sz w:val="22"/>
              </w:rPr>
              <w:t>设备主要参数</w:t>
            </w:r>
          </w:p>
        </w:tc>
        <w:tc>
          <w:tcPr>
            <w:tcW w:w="1179" w:type="pct"/>
            <w:vAlign w:val="center"/>
          </w:tcPr>
          <w:p>
            <w:pPr>
              <w:spacing w:line="360" w:lineRule="auto"/>
              <w:jc w:val="left"/>
              <w:rPr>
                <w:rFonts w:ascii="Times New Roman" w:hAnsi="Times New Roman" w:eastAsia="宋体" w:cs="Times New Roman"/>
                <w:sz w:val="22"/>
              </w:rPr>
            </w:pPr>
            <w:r>
              <w:rPr>
                <w:rFonts w:ascii="Times New Roman" w:hAnsi="Times New Roman" w:eastAsia="宋体" w:cs="Times New Roman"/>
                <w:color w:val="000000"/>
                <w:sz w:val="22"/>
              </w:rPr>
              <w:t>分辨率</w:t>
            </w:r>
          </w:p>
        </w:tc>
        <w:tc>
          <w:tcPr>
            <w:tcW w:w="2834" w:type="pct"/>
            <w:vAlign w:val="center"/>
          </w:tcPr>
          <w:p>
            <w:pPr>
              <w:autoSpaceDE w:val="0"/>
              <w:autoSpaceDN w:val="0"/>
              <w:spacing w:line="238" w:lineRule="exact"/>
              <w:jc w:val="left"/>
              <w:rPr>
                <w:rFonts w:ascii="Times New Roman" w:hAnsi="Times New Roman" w:eastAsia="宋体" w:cs="Times New Roman"/>
                <w:sz w:val="22"/>
              </w:rPr>
            </w:pPr>
            <w:r>
              <w:rPr>
                <w:rFonts w:ascii="Times New Roman" w:hAnsi="Times New Roman" w:eastAsia="宋体" w:cs="Times New Roman"/>
                <w:color w:val="000000"/>
                <w:sz w:val="22"/>
              </w:rPr>
              <w:t>2cm-1 （0.3nm 在 1,250nm）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pStyle w:val="6"/>
              <w:spacing w:line="360" w:lineRule="auto"/>
              <w:ind w:firstLine="0" w:firstLineChars="0"/>
              <w:jc w:val="left"/>
              <w:rPr>
                <w:rFonts w:ascii="Times New Roman" w:hAnsi="Times New Roman" w:eastAsia="宋体" w:cs="Times New Roman"/>
                <w:sz w:val="22"/>
              </w:rPr>
            </w:pPr>
            <w:r>
              <w:rPr>
                <w:rFonts w:ascii="Times New Roman" w:hAnsi="Times New Roman" w:eastAsia="宋体" w:cs="Times New Roman"/>
                <w:color w:val="000000"/>
                <w:sz w:val="22"/>
              </w:rPr>
              <w:t>谱区范围</w:t>
            </w:r>
          </w:p>
        </w:tc>
        <w:tc>
          <w:tcPr>
            <w:tcW w:w="2834" w:type="pct"/>
            <w:vAlign w:val="center"/>
          </w:tcPr>
          <w:p>
            <w:pPr>
              <w:autoSpaceDE w:val="0"/>
              <w:autoSpaceDN w:val="0"/>
              <w:spacing w:line="201" w:lineRule="exact"/>
              <w:jc w:val="left"/>
              <w:rPr>
                <w:rFonts w:ascii="Times New Roman" w:hAnsi="Times New Roman" w:eastAsia="宋体" w:cs="Times New Roman"/>
                <w:sz w:val="22"/>
              </w:rPr>
            </w:pPr>
            <w:r>
              <w:rPr>
                <w:rFonts w:ascii="Times New Roman" w:hAnsi="Times New Roman" w:eastAsia="宋体" w:cs="Times New Roman"/>
                <w:color w:val="000000"/>
                <w:sz w:val="22"/>
              </w:rPr>
              <w:t>12,800-4,000cm-1(780-2,500nm)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pStyle w:val="6"/>
              <w:spacing w:line="360" w:lineRule="auto"/>
              <w:ind w:firstLine="0" w:firstLineChars="0"/>
              <w:jc w:val="left"/>
              <w:rPr>
                <w:rFonts w:ascii="Times New Roman" w:hAnsi="Times New Roman" w:eastAsia="宋体" w:cs="Times New Roman"/>
                <w:color w:val="000000"/>
                <w:sz w:val="22"/>
              </w:rPr>
            </w:pPr>
            <w:r>
              <w:rPr>
                <w:rFonts w:ascii="Times New Roman" w:hAnsi="Times New Roman" w:eastAsia="宋体" w:cs="Times New Roman"/>
                <w:color w:val="000000"/>
                <w:sz w:val="22"/>
              </w:rPr>
              <w:t>波数精度</w:t>
            </w:r>
          </w:p>
        </w:tc>
        <w:tc>
          <w:tcPr>
            <w:tcW w:w="2834" w:type="pct"/>
            <w:vAlign w:val="center"/>
          </w:tcPr>
          <w:p>
            <w:pPr>
              <w:autoSpaceDE w:val="0"/>
              <w:autoSpaceDN w:val="0"/>
              <w:spacing w:line="238" w:lineRule="exact"/>
              <w:jc w:val="left"/>
              <w:rPr>
                <w:rFonts w:ascii="Times New Roman" w:hAnsi="Times New Roman" w:eastAsia="宋体" w:cs="Times New Roman"/>
                <w:color w:val="000000"/>
                <w:sz w:val="22"/>
              </w:rPr>
            </w:pPr>
            <w:r>
              <w:rPr>
                <w:rFonts w:ascii="Times New Roman" w:hAnsi="Times New Roman" w:eastAsia="宋体" w:cs="Times New Roman"/>
                <w:color w:val="000000"/>
                <w:sz w:val="22"/>
              </w:rPr>
              <w:t>优于 0.04 cm-1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pStyle w:val="6"/>
              <w:spacing w:line="360" w:lineRule="auto"/>
              <w:ind w:firstLine="0" w:firstLineChars="0"/>
              <w:jc w:val="left"/>
              <w:rPr>
                <w:rFonts w:ascii="Times New Roman" w:hAnsi="Times New Roman" w:eastAsia="宋体" w:cs="Times New Roman"/>
                <w:color w:val="000000"/>
                <w:sz w:val="22"/>
              </w:rPr>
            </w:pPr>
            <w:r>
              <w:rPr>
                <w:rFonts w:ascii="Times New Roman" w:hAnsi="Times New Roman" w:eastAsia="宋体" w:cs="Times New Roman"/>
                <w:color w:val="000000"/>
                <w:sz w:val="22"/>
              </w:rPr>
              <w:t>波数准确度</w:t>
            </w:r>
          </w:p>
        </w:tc>
        <w:tc>
          <w:tcPr>
            <w:tcW w:w="2834" w:type="pct"/>
            <w:vAlign w:val="center"/>
          </w:tcPr>
          <w:p>
            <w:pPr>
              <w:autoSpaceDE w:val="0"/>
              <w:autoSpaceDN w:val="0"/>
              <w:spacing w:line="201" w:lineRule="exact"/>
              <w:jc w:val="left"/>
              <w:rPr>
                <w:rFonts w:ascii="Times New Roman" w:hAnsi="Times New Roman" w:eastAsia="宋体" w:cs="Times New Roman"/>
                <w:color w:val="000000"/>
                <w:sz w:val="22"/>
              </w:rPr>
            </w:pPr>
            <w:r>
              <w:rPr>
                <w:rFonts w:ascii="Times New Roman" w:hAnsi="Times New Roman" w:eastAsia="宋体" w:cs="Times New Roman"/>
                <w:color w:val="000000"/>
                <w:sz w:val="22"/>
              </w:rPr>
              <w:t>优于 0.1 cm-1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pStyle w:val="6"/>
              <w:spacing w:line="360" w:lineRule="auto"/>
              <w:ind w:firstLine="0" w:firstLineChars="0"/>
              <w:jc w:val="left"/>
              <w:rPr>
                <w:rFonts w:ascii="Times New Roman" w:hAnsi="Times New Roman" w:eastAsia="宋体" w:cs="Times New Roman"/>
                <w:color w:val="000000"/>
                <w:sz w:val="22"/>
              </w:rPr>
            </w:pPr>
            <w:r>
              <w:rPr>
                <w:rFonts w:ascii="Times New Roman" w:hAnsi="Times New Roman" w:eastAsia="宋体" w:cs="Times New Roman"/>
                <w:color w:val="000000"/>
                <w:sz w:val="22"/>
              </w:rPr>
              <w:t>透光率精度</w:t>
            </w:r>
          </w:p>
        </w:tc>
        <w:tc>
          <w:tcPr>
            <w:tcW w:w="2834" w:type="pct"/>
            <w:vAlign w:val="center"/>
          </w:tcPr>
          <w:p>
            <w:pPr>
              <w:autoSpaceDE w:val="0"/>
              <w:autoSpaceDN w:val="0"/>
              <w:spacing w:line="240" w:lineRule="exact"/>
              <w:jc w:val="left"/>
              <w:rPr>
                <w:rFonts w:ascii="Times New Roman" w:hAnsi="Times New Roman" w:eastAsia="宋体" w:cs="Times New Roman"/>
                <w:color w:val="000000"/>
                <w:sz w:val="22"/>
              </w:rPr>
            </w:pPr>
            <w:r>
              <w:rPr>
                <w:rFonts w:ascii="Times New Roman" w:hAnsi="Times New Roman" w:eastAsia="宋体" w:cs="Times New Roman"/>
                <w:color w:val="000000"/>
                <w:sz w:val="22"/>
              </w:rPr>
              <w:t>优于  0.1%T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pStyle w:val="6"/>
              <w:spacing w:line="360" w:lineRule="auto"/>
              <w:ind w:firstLine="0" w:firstLineChars="0"/>
              <w:jc w:val="left"/>
              <w:rPr>
                <w:rFonts w:hint="eastAsia" w:ascii="Times New Roman" w:hAnsi="Times New Roman" w:eastAsia="宋体" w:cs="Times New Roman"/>
                <w:color w:val="000000"/>
                <w:sz w:val="22"/>
                <w:lang w:val="en-US" w:eastAsia="zh-CN"/>
              </w:rPr>
            </w:pPr>
            <w:r>
              <w:rPr>
                <w:rFonts w:ascii="Times New Roman" w:hAnsi="Times New Roman" w:eastAsia="宋体" w:cs="Times New Roman"/>
                <w:color w:val="000000"/>
                <w:sz w:val="22"/>
              </w:rPr>
              <w:t>检测</w:t>
            </w:r>
            <w:r>
              <w:rPr>
                <w:rFonts w:hint="eastAsia" w:ascii="Times New Roman" w:hAnsi="Times New Roman" w:eastAsia="宋体" w:cs="Times New Roman"/>
                <w:color w:val="000000"/>
                <w:sz w:val="22"/>
                <w:lang w:val="en-US" w:eastAsia="zh-CN"/>
              </w:rPr>
              <w:t>单元</w:t>
            </w:r>
          </w:p>
        </w:tc>
        <w:tc>
          <w:tcPr>
            <w:tcW w:w="2834" w:type="pct"/>
            <w:vAlign w:val="center"/>
          </w:tcPr>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22"/>
              </w:rPr>
            </w:pPr>
            <w:r>
              <w:rPr>
                <w:rFonts w:hint="eastAsia" w:ascii="宋体" w:hAnsi="宋体" w:eastAsia="宋体" w:cs="宋体"/>
                <w:color w:val="000000"/>
                <w:spacing w:val="0"/>
                <w:sz w:val="22"/>
                <w:szCs w:val="22"/>
              </w:rPr>
              <w:t>MPAII-R  扩展模块</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22"/>
              </w:rPr>
            </w:pPr>
            <w:r>
              <w:rPr>
                <w:rFonts w:hint="eastAsia" w:ascii="宋体" w:hAnsi="宋体" w:eastAsia="宋体" w:cs="宋体"/>
                <w:color w:val="000000"/>
                <w:spacing w:val="0"/>
                <w:sz w:val="22"/>
                <w:szCs w:val="22"/>
              </w:rPr>
              <w:t>- integrating sphere with horizontal sample position and large analysis area for</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22"/>
              </w:rPr>
            </w:pPr>
            <w:r>
              <w:rPr>
                <w:rFonts w:hint="eastAsia" w:ascii="宋体" w:hAnsi="宋体" w:eastAsia="宋体" w:cs="宋体"/>
                <w:color w:val="000000"/>
                <w:spacing w:val="0"/>
                <w:sz w:val="22"/>
                <w:szCs w:val="22"/>
              </w:rPr>
              <w:t>inhomogeneous and granulated samples, diameter of the analysis area: 12mm</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22"/>
              </w:rPr>
            </w:pPr>
            <w:r>
              <w:rPr>
                <w:rFonts w:hint="eastAsia" w:ascii="宋体" w:hAnsi="宋体" w:eastAsia="宋体" w:cs="宋体"/>
                <w:color w:val="000000"/>
                <w:spacing w:val="0"/>
                <w:sz w:val="22"/>
                <w:szCs w:val="22"/>
              </w:rPr>
              <w:t>积分球漫反射检测通道，检测区域直径为  12mm</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22"/>
              </w:rPr>
            </w:pPr>
            <w:r>
              <w:rPr>
                <w:rFonts w:hint="eastAsia" w:ascii="宋体" w:hAnsi="宋体" w:eastAsia="宋体" w:cs="宋体"/>
                <w:color w:val="000000"/>
                <w:spacing w:val="0"/>
                <w:sz w:val="22"/>
                <w:szCs w:val="22"/>
              </w:rPr>
              <w:t>- TE-cooled InGaAs detector</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22"/>
              </w:rPr>
            </w:pPr>
            <w:r>
              <w:rPr>
                <w:rFonts w:hint="eastAsia" w:ascii="宋体" w:hAnsi="宋体" w:eastAsia="宋体" w:cs="宋体"/>
                <w:color w:val="000000"/>
                <w:spacing w:val="0"/>
                <w:sz w:val="22"/>
                <w:szCs w:val="22"/>
              </w:rPr>
              <w:t>配备高灵敏度 TE 冷却的 InGaAs  检测器</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22"/>
              </w:rPr>
            </w:pPr>
            <w:r>
              <w:rPr>
                <w:rFonts w:hint="eastAsia" w:ascii="宋体" w:hAnsi="宋体" w:eastAsia="宋体" w:cs="宋体"/>
                <w:color w:val="000000"/>
                <w:spacing w:val="0"/>
                <w:sz w:val="22"/>
                <w:szCs w:val="22"/>
              </w:rPr>
              <w:t>- internal, automatically positioned gold coated reference for background</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22"/>
              </w:rPr>
            </w:pPr>
            <w:r>
              <w:rPr>
                <w:rFonts w:hint="eastAsia" w:ascii="宋体" w:hAnsi="宋体" w:eastAsia="宋体" w:cs="宋体"/>
                <w:color w:val="000000"/>
                <w:spacing w:val="0"/>
                <w:sz w:val="22"/>
                <w:szCs w:val="22"/>
              </w:rPr>
              <w:t>measurements</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22"/>
              </w:rPr>
            </w:pPr>
            <w:r>
              <w:rPr>
                <w:rFonts w:hint="eastAsia" w:ascii="宋体" w:hAnsi="宋体" w:eastAsia="宋体" w:cs="宋体"/>
                <w:color w:val="000000"/>
                <w:spacing w:val="0"/>
                <w:sz w:val="22"/>
                <w:szCs w:val="22"/>
              </w:rPr>
              <w:t>-内部自动定位镀金基准，用于背景测量</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22"/>
              </w:rPr>
            </w:pPr>
            <w:r>
              <w:rPr>
                <w:rFonts w:hint="eastAsia" w:ascii="宋体" w:hAnsi="宋体" w:eastAsia="宋体" w:cs="宋体"/>
                <w:color w:val="000000"/>
                <w:spacing w:val="0"/>
                <w:sz w:val="22"/>
                <w:szCs w:val="22"/>
              </w:rPr>
              <w:t>- mount for vials with 22mm outer diameter (IN101C-22)</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22"/>
              </w:rPr>
            </w:pPr>
            <w:r>
              <w:rPr>
                <w:rFonts w:hint="eastAsia" w:ascii="宋体" w:hAnsi="宋体" w:eastAsia="宋体" w:cs="宋体"/>
                <w:color w:val="000000"/>
                <w:spacing w:val="0"/>
                <w:sz w:val="22"/>
                <w:szCs w:val="22"/>
              </w:rPr>
              <w:t>-外径为 22mm 的小瓶安装架（101c-22）</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22"/>
              </w:rPr>
            </w:pPr>
            <w:r>
              <w:rPr>
                <w:rFonts w:hint="eastAsia" w:ascii="宋体" w:hAnsi="宋体" w:eastAsia="宋体" w:cs="宋体"/>
                <w:color w:val="000000"/>
                <w:spacing w:val="0"/>
                <w:sz w:val="22"/>
                <w:szCs w:val="22"/>
              </w:rPr>
              <w:t>- supply of vials with flat bottom (IN440-001)</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22"/>
              </w:rPr>
            </w:pPr>
            <w:r>
              <w:rPr>
                <w:rFonts w:hint="eastAsia" w:ascii="宋体" w:hAnsi="宋体" w:eastAsia="宋体" w:cs="宋体"/>
                <w:color w:val="000000"/>
                <w:spacing w:val="0"/>
                <w:sz w:val="22"/>
                <w:szCs w:val="22"/>
              </w:rPr>
              <w:t>(factory installation only)</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22"/>
              </w:rPr>
            </w:pPr>
            <w:r>
              <w:rPr>
                <w:rFonts w:hint="eastAsia" w:ascii="宋体" w:hAnsi="宋体" w:eastAsia="宋体" w:cs="宋体"/>
                <w:color w:val="000000"/>
                <w:spacing w:val="0"/>
                <w:sz w:val="22"/>
                <w:szCs w:val="22"/>
              </w:rPr>
              <w:t>-提供平底小瓶（IN440-001）</w:t>
            </w:r>
          </w:p>
          <w:p>
            <w:pPr>
              <w:autoSpaceDE w:val="0"/>
              <w:autoSpaceDN w:val="0"/>
              <w:spacing w:line="201" w:lineRule="exact"/>
              <w:jc w:val="left"/>
              <w:rPr>
                <w:rFonts w:ascii="Times New Roman" w:hAnsi="Times New Roman" w:eastAsia="宋体" w:cs="Times New Roman"/>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pStyle w:val="6"/>
              <w:spacing w:line="360" w:lineRule="auto"/>
              <w:ind w:firstLine="0" w:firstLineChars="0"/>
              <w:jc w:val="left"/>
              <w:rPr>
                <w:rFonts w:hint="eastAsia" w:ascii="Times New Roman" w:hAnsi="Times New Roman" w:eastAsia="宋体" w:cs="Times New Roman"/>
                <w:color w:val="000000"/>
                <w:sz w:val="22"/>
                <w:lang w:val="en-US" w:eastAsia="zh-CN"/>
              </w:rPr>
            </w:pPr>
            <w:r>
              <w:rPr>
                <w:rFonts w:hint="eastAsia" w:ascii="Times New Roman" w:hAnsi="Times New Roman" w:eastAsia="宋体" w:cs="Times New Roman"/>
                <w:color w:val="000000"/>
                <w:sz w:val="22"/>
                <w:lang w:val="en-US" w:eastAsia="zh-CN"/>
              </w:rPr>
              <w:t>性能</w:t>
            </w:r>
          </w:p>
        </w:tc>
        <w:tc>
          <w:tcPr>
            <w:tcW w:w="2834" w:type="pct"/>
            <w:vAlign w:val="center"/>
          </w:tcPr>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Performance  性能：</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Resolution:</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2cm-1 （0.3nm at 1,250nm）</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分辨率：</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2cm-1 （0.3nm 在 1,250nm  处）</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Spectral Range:   12,800-4,000cm-1(780-2,500nm)</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谱区范围：</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12,800-4,000cm-1(780-2,500nm)</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Wavenumber reproducibility:    Better than 0.04cm-1</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波数精度：</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优于 0.04 cm-1</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Wavenumber accuracy:</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波数准确度：</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Photometric accuracy:</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透光率精度：</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Better than 0.1 cm-1</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优于 0.1 cm-1</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Better than 0.1 % T</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优于  0.1%T</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Optical system  光学系统：</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Design: Compact, sealed and desiccated optics housing, integrated validation</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features (PQ)</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设计：紧凑设计、密封干燥的光学台，内置系统校验（PQ）。</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IR-source:  A new and specially designed source technology will be available with</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MPA II. The average lifetime of this source will be &gt;2 years..</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IR 光源：新设计 NIR 光源，平均寿命大于 2  年。</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Interferometer: Proprietary highly stable and vibration insensitive  interferometer</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system ("Rock-solid") with mechanical, permanently aligned.</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干涉仪：专利产品(Rock-solid)干涉仪，高稳定性，抗振动，永远准直。</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Beamsplitter:  Quartz substrate with proprietary coating,.</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分束器：多层覆盖,  石英分束器。</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Detector:  High sensitivity InGaAs detector, thermoelectrically cooled</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检测器：半导体冷却的高灵敏度 InGaAs  检测器。</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Scanner:  Mechanical, frictionless bearing (no compressed air required), 3 selectable</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mirror velocities, Scan rated: 5 spectra/ sec at 8 cm-1 resolution.</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扫描仪：机械、无摩擦轴承（不需压缩空气），3 种动镜速率，扫描速度：8cm-1  光谱</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分辨率下，5 张光谱/秒。</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Validation:  IVU-internal validation unit</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验证：内置式仪器自我验证系统。</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Electronics  电子线路：</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Automation: Microprocessor controlled optical bench, digital speed control, automatic</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gain selection, advanced system check, power saving mode. Option: Remote control</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of beam exit port (e.g. for fiber optic coupling), TTL ports; automatic sample changer.</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自动化：微处理器控制光学台，数字化动镜控制，自动增益选择，动态分辨率增强，</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高级的系统诊断，电源存储模式。可选：外接光路远程控制（如光纤探头接口），TTL</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控制接口；自动样品转换器等。</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A/D converter:  24 bit.</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模/数转换器：24  位。</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Spectrometer Power:  100-240 VAC, 50-60 Hz, 100W</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仪器电源：100-240 VAC, 50-60 Hz, 100W</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CONFIDENTIAL</w:t>
            </w:r>
          </w:p>
          <w:p>
            <w:pPr>
              <w:autoSpaceDE w:val="0"/>
              <w:autoSpaceDN w:val="0"/>
              <w:spacing w:line="240" w:lineRule="auto"/>
              <w:jc w:val="left"/>
              <w:rPr>
                <w:rFonts w:hint="eastAsia" w:ascii="宋体" w:hAnsi="宋体" w:eastAsia="宋体" w:cs="宋体"/>
                <w:color w:val="000000"/>
                <w:sz w:val="22"/>
                <w:szCs w:val="22"/>
              </w:rPr>
            </w:pPr>
            <w:r>
              <w:rPr>
                <w:rFonts w:hint="eastAsia" w:ascii="宋体" w:hAnsi="宋体" w:eastAsia="宋体" w:cs="宋体"/>
                <w:color w:val="000000"/>
                <w:sz w:val="22"/>
                <w:szCs w:val="22"/>
              </w:rPr>
              <w:t>Computer Interface:  Ethernet connection</w:t>
            </w:r>
          </w:p>
          <w:p>
            <w:pPr>
              <w:autoSpaceDE w:val="0"/>
              <w:autoSpaceDN w:val="0"/>
              <w:spacing w:line="240" w:lineRule="auto"/>
              <w:jc w:val="left"/>
              <w:rPr>
                <w:rFonts w:ascii="Times New Roman" w:hAnsi="Times New Roman" w:eastAsia="宋体" w:cs="Times New Roman"/>
                <w:color w:val="000000"/>
                <w:sz w:val="22"/>
              </w:rPr>
            </w:pPr>
            <w:r>
              <w:rPr>
                <w:rFonts w:hint="eastAsia" w:ascii="宋体" w:hAnsi="宋体" w:eastAsia="宋体" w:cs="宋体"/>
                <w:color w:val="000000"/>
                <w:sz w:val="22"/>
                <w:szCs w:val="22"/>
              </w:rPr>
              <w:t>仪器与计算机通讯：以太网卡联结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pStyle w:val="6"/>
              <w:spacing w:line="360" w:lineRule="auto"/>
              <w:ind w:firstLine="0" w:firstLineChars="0"/>
              <w:jc w:val="left"/>
              <w:rPr>
                <w:rFonts w:ascii="Times New Roman" w:hAnsi="Times New Roman" w:eastAsia="宋体" w:cs="Times New Roman"/>
                <w:color w:val="000000"/>
                <w:sz w:val="22"/>
              </w:rPr>
            </w:pPr>
            <w:r>
              <w:rPr>
                <w:rFonts w:ascii="Times New Roman" w:hAnsi="Times New Roman" w:eastAsia="宋体" w:cs="Times New Roman"/>
                <w:color w:val="000000"/>
                <w:sz w:val="22"/>
              </w:rPr>
              <w:t>分析软件</w:t>
            </w:r>
          </w:p>
        </w:tc>
        <w:tc>
          <w:tcPr>
            <w:tcW w:w="2834" w:type="pct"/>
            <w:vAlign w:val="center"/>
          </w:tcPr>
          <w:p>
            <w:pPr>
              <w:autoSpaceDE w:val="0"/>
              <w:autoSpaceDN w:val="0"/>
              <w:spacing w:line="240" w:lineRule="auto"/>
              <w:jc w:val="left"/>
              <w:rPr>
                <w:rFonts w:ascii="Times New Roman" w:hAnsi="Times New Roman" w:eastAsia="宋体" w:cs="Times New Roman"/>
                <w:color w:val="000000"/>
                <w:sz w:val="22"/>
              </w:rPr>
            </w:pPr>
            <w:r>
              <w:rPr>
                <w:rFonts w:ascii="Times New Roman" w:hAnsi="Times New Roman" w:eastAsia="宋体" w:cs="Times New Roman"/>
                <w:color w:val="000000"/>
                <w:sz w:val="22"/>
              </w:rPr>
              <w:t>OPUS/QUANT软件，用于全光谱多元分析的定量分析软件包，具有模型建立、提供多</w:t>
            </w:r>
          </w:p>
          <w:p>
            <w:pPr>
              <w:autoSpaceDE w:val="0"/>
              <w:autoSpaceDN w:val="0"/>
              <w:spacing w:line="240" w:lineRule="auto"/>
              <w:jc w:val="left"/>
              <w:rPr>
                <w:rFonts w:ascii="Times New Roman" w:hAnsi="Times New Roman" w:eastAsia="宋体" w:cs="Times New Roman"/>
                <w:color w:val="000000"/>
                <w:sz w:val="22"/>
              </w:rPr>
            </w:pPr>
            <w:r>
              <w:rPr>
                <w:rFonts w:ascii="Times New Roman" w:hAnsi="Times New Roman" w:eastAsia="宋体" w:cs="Times New Roman"/>
                <w:color w:val="000000"/>
                <w:sz w:val="22"/>
              </w:rPr>
              <w:t>种光谱预处理方法和验证选择。同时具有自动优化建立模型的强大功能</w:t>
            </w:r>
          </w:p>
          <w:p>
            <w:pPr>
              <w:autoSpaceDE w:val="0"/>
              <w:autoSpaceDN w:val="0"/>
              <w:spacing w:line="201" w:lineRule="exact"/>
              <w:jc w:val="left"/>
              <w:rPr>
                <w:rFonts w:ascii="Times New Roman" w:hAnsi="Times New Roman" w:eastAsia="宋体" w:cs="Times New Roman"/>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sz w:val="24"/>
                <w:szCs w:val="24"/>
              </w:rPr>
            </w:pPr>
            <w:r>
              <w:rPr>
                <w:rFonts w:hint="eastAsia"/>
                <w:sz w:val="24"/>
                <w:szCs w:val="24"/>
                <w:highlight w:val="yellow"/>
              </w:rPr>
              <w:t>附属设备</w:t>
            </w:r>
          </w:p>
        </w:tc>
        <w:tc>
          <w:tcPr>
            <w:tcW w:w="4013" w:type="pct"/>
            <w:gridSpan w:val="2"/>
            <w:vAlign w:val="center"/>
          </w:tcPr>
          <w:p>
            <w:pPr>
              <w:jc w:val="left"/>
              <w:rPr>
                <w:rFonts w:ascii="黑体" w:hAnsi="黑体" w:eastAsia="黑体" w:cs="黑体"/>
                <w:szCs w:val="21"/>
              </w:rPr>
            </w:pPr>
            <w:r>
              <w:rPr>
                <w:rFonts w:hint="eastAsia" w:ascii="黑体" w:hAnsi="黑体" w:eastAsia="黑体" w:cs="黑体"/>
                <w:szCs w:val="21"/>
              </w:rPr>
              <w:t>电脑</w:t>
            </w:r>
            <w:r>
              <w:rPr>
                <w:rFonts w:ascii="黑体" w:hAnsi="黑体" w:eastAsia="黑体" w:cs="黑体"/>
                <w:szCs w:val="21"/>
              </w:rPr>
              <w:t>DELL</w:t>
            </w:r>
            <w:r>
              <w:rPr>
                <w:rFonts w:hint="eastAsia" w:ascii="黑体" w:hAnsi="黑体" w:eastAsia="黑体" w:cs="黑体"/>
                <w:szCs w:val="21"/>
                <w:lang w:val="en-US" w:eastAsia="zh-CN"/>
              </w:rPr>
              <w:t xml:space="preserve"> </w:t>
            </w:r>
            <w:r>
              <w:rPr>
                <w:rFonts w:ascii="黑体" w:hAnsi="黑体" w:eastAsia="黑体" w:cs="黑体"/>
                <w:szCs w:val="21"/>
              </w:rPr>
              <w:t>i5/8G/500G</w:t>
            </w:r>
          </w:p>
          <w:p>
            <w:pPr>
              <w:jc w:val="left"/>
              <w:rPr>
                <w:rFonts w:hint="eastAsia" w:ascii="黑体" w:hAnsi="黑体" w:eastAsia="黑体" w:cs="黑体"/>
                <w:szCs w:val="21"/>
                <w:lang w:val="en-US" w:eastAsia="zh-CN"/>
              </w:rPr>
            </w:pPr>
            <w:r>
              <w:rPr>
                <w:rFonts w:hint="eastAsia" w:ascii="黑体" w:hAnsi="黑体" w:eastAsia="黑体" w:cs="黑体"/>
                <w:szCs w:val="21"/>
              </w:rPr>
              <w:t>DVDRW/</w:t>
            </w:r>
            <w:r>
              <w:rPr>
                <w:rFonts w:hint="eastAsia" w:ascii="黑体" w:hAnsi="黑体" w:eastAsia="黑体" w:cs="黑体"/>
                <w:szCs w:val="21"/>
                <w:lang w:val="en-US" w:eastAsia="zh-CN"/>
              </w:rPr>
              <w:t>2G独显</w:t>
            </w:r>
          </w:p>
          <w:p>
            <w:pPr>
              <w:jc w:val="left"/>
              <w:rPr>
                <w:rFonts w:ascii="黑体" w:hAnsi="黑体" w:eastAsia="黑体" w:cs="黑体"/>
                <w:szCs w:val="21"/>
              </w:rPr>
            </w:pPr>
            <w:r>
              <w:rPr>
                <w:rFonts w:hint="eastAsia" w:ascii="黑体" w:hAnsi="黑体" w:eastAsia="黑体" w:cs="黑体"/>
                <w:szCs w:val="21"/>
              </w:rPr>
              <w:t>Windows 10 专业版 中文/64位</w:t>
            </w:r>
          </w:p>
          <w:p>
            <w:pPr>
              <w:spacing w:line="360" w:lineRule="auto"/>
              <w:jc w:val="left"/>
              <w:rPr>
                <w:rFonts w:ascii="黑体" w:hAnsi="黑体" w:eastAsia="黑体" w:cs="黑体"/>
                <w:szCs w:val="21"/>
              </w:rPr>
            </w:pPr>
            <w:r>
              <w:rPr>
                <w:rFonts w:hint="eastAsia" w:ascii="黑体" w:hAnsi="黑体" w:eastAsia="黑体" w:cs="黑体"/>
                <w:szCs w:val="21"/>
              </w:rPr>
              <w:t>要求必须安装正版系统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rFonts w:hint="default"/>
                <w:sz w:val="24"/>
                <w:szCs w:val="24"/>
                <w:lang w:val="en-US" w:eastAsia="zh-CN"/>
              </w:rPr>
            </w:pPr>
            <w:r>
              <w:rPr>
                <w:rFonts w:hint="eastAsia"/>
                <w:sz w:val="24"/>
                <w:szCs w:val="24"/>
                <w:lang w:val="en-US" w:eastAsia="zh-CN"/>
              </w:rPr>
              <w:t>配件</w:t>
            </w:r>
          </w:p>
        </w:tc>
        <w:tc>
          <w:tcPr>
            <w:tcW w:w="4013" w:type="pct"/>
            <w:gridSpan w:val="2"/>
            <w:vAlign w:val="center"/>
          </w:tcPr>
          <w:p>
            <w:pPr>
              <w:widowControl w:val="0"/>
              <w:autoSpaceDE w:val="0"/>
              <w:autoSpaceDN w:val="0"/>
              <w:spacing w:before="0" w:after="0" w:line="36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配置适用于漫反射分析的样品旋转台，进行漫反射测量需要以下附件：</w:t>
            </w:r>
          </w:p>
          <w:p>
            <w:pPr>
              <w:widowControl w:val="0"/>
              <w:autoSpaceDE w:val="0"/>
              <w:autoSpaceDN w:val="0"/>
              <w:spacing w:before="0" w:after="0" w:line="36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 IN312-P (sample cup, polymer, 97mm diameter), or</w:t>
            </w:r>
          </w:p>
          <w:p>
            <w:pPr>
              <w:widowControl w:val="0"/>
              <w:autoSpaceDE w:val="0"/>
              <w:autoSpaceDN w:val="0"/>
              <w:spacing w:before="0" w:after="0" w:line="36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 IN312-S (sample cup, aluminum, 97mm diameter), or</w:t>
            </w:r>
          </w:p>
          <w:p>
            <w:pPr>
              <w:widowControl w:val="0"/>
              <w:autoSpaceDE w:val="0"/>
              <w:autoSpaceDN w:val="0"/>
              <w:spacing w:before="0" w:after="0" w:line="360" w:lineRule="auto"/>
              <w:ind w:left="0" w:right="0"/>
              <w:jc w:val="left"/>
              <w:rPr>
                <w:rFonts w:hint="default" w:ascii="宋体" w:hAnsi="宋体" w:eastAsia="宋体" w:cs="宋体"/>
                <w:color w:val="000000"/>
                <w:spacing w:val="0"/>
                <w:sz w:val="22"/>
                <w:szCs w:val="32"/>
                <w:lang w:val="en-US" w:eastAsia="zh-CN"/>
              </w:rPr>
            </w:pPr>
            <w:r>
              <w:rPr>
                <w:rFonts w:hint="eastAsia" w:ascii="宋体" w:hAnsi="宋体" w:eastAsia="宋体" w:cs="宋体"/>
                <w:color w:val="000000"/>
                <w:spacing w:val="0"/>
                <w:sz w:val="22"/>
                <w:szCs w:val="32"/>
              </w:rPr>
              <w:t>低羟基石英样品杯，铝制杯体，直径为97mm,高90mm</w:t>
            </w:r>
            <w:r>
              <w:rPr>
                <w:rFonts w:hint="eastAsia" w:ascii="宋体" w:hAnsi="宋体" w:eastAsia="宋体" w:cs="宋体"/>
                <w:color w:val="000000"/>
                <w:spacing w:val="0"/>
                <w:sz w:val="22"/>
                <w:szCs w:val="32"/>
                <w:lang w:val="en-US" w:eastAsia="zh-CN"/>
              </w:rPr>
              <w:t>*1</w:t>
            </w:r>
          </w:p>
          <w:p>
            <w:pPr>
              <w:widowControl w:val="0"/>
              <w:autoSpaceDE w:val="0"/>
              <w:autoSpaceDN w:val="0"/>
              <w:spacing w:before="0" w:after="0" w:line="36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 IN312-SH (sample cup, aluminum, 97mm diameter), or</w:t>
            </w:r>
          </w:p>
          <w:p>
            <w:pPr>
              <w:widowControl w:val="0"/>
              <w:autoSpaceDE w:val="0"/>
              <w:autoSpaceDN w:val="0"/>
              <w:spacing w:before="0" w:after="0" w:line="360" w:lineRule="auto"/>
              <w:ind w:left="0" w:right="0"/>
              <w:jc w:val="left"/>
              <w:rPr>
                <w:rFonts w:hint="default" w:ascii="宋体" w:hAnsi="宋体" w:eastAsia="宋体" w:cs="宋体"/>
                <w:color w:val="000000"/>
                <w:spacing w:val="0"/>
                <w:sz w:val="22"/>
                <w:szCs w:val="32"/>
                <w:lang w:val="en-US" w:eastAsia="zh-CN"/>
              </w:rPr>
            </w:pPr>
            <w:r>
              <w:rPr>
                <w:rFonts w:hint="eastAsia" w:ascii="宋体" w:hAnsi="宋体" w:eastAsia="宋体" w:cs="宋体"/>
                <w:color w:val="000000"/>
                <w:spacing w:val="0"/>
                <w:sz w:val="22"/>
                <w:szCs w:val="32"/>
              </w:rPr>
              <w:t>低羟基石英样品杯，铝制杯体，直径为97mm,高45mm</w:t>
            </w:r>
            <w:r>
              <w:rPr>
                <w:rFonts w:hint="eastAsia" w:ascii="宋体" w:hAnsi="宋体" w:eastAsia="宋体" w:cs="宋体"/>
                <w:color w:val="000000"/>
                <w:spacing w:val="0"/>
                <w:sz w:val="22"/>
                <w:szCs w:val="32"/>
                <w:lang w:val="en-US" w:eastAsia="zh-CN"/>
              </w:rPr>
              <w:t>*2</w:t>
            </w:r>
          </w:p>
          <w:p>
            <w:pPr>
              <w:widowControl w:val="0"/>
              <w:autoSpaceDE w:val="0"/>
              <w:autoSpaceDN w:val="0"/>
              <w:spacing w:before="0" w:after="0" w:line="36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 IN312-A (adapter for beakers)</w:t>
            </w:r>
          </w:p>
          <w:p>
            <w:pPr>
              <w:widowControl w:val="0"/>
              <w:autoSpaceDE w:val="0"/>
              <w:autoSpaceDN w:val="0"/>
              <w:spacing w:before="0" w:after="0" w:line="36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 IN312-B (adapter for glass (Schott) or plastic petri dishes)</w:t>
            </w:r>
          </w:p>
          <w:p>
            <w:pPr>
              <w:pStyle w:val="6"/>
              <w:spacing w:line="400" w:lineRule="exact"/>
              <w:ind w:firstLine="0" w:firstLineChars="0"/>
              <w:rPr>
                <w:rFonts w:hint="eastAsia" w:ascii="宋体" w:hAnsi="宋体" w:eastAsia="宋体" w:cs="宋体"/>
                <w:bCs/>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rFonts w:hint="eastAsia"/>
                <w:sz w:val="24"/>
                <w:szCs w:val="24"/>
              </w:rPr>
            </w:pPr>
            <w:r>
              <w:rPr>
                <w:rFonts w:hint="eastAsia"/>
                <w:sz w:val="24"/>
                <w:szCs w:val="24"/>
                <w:lang w:val="en-US" w:eastAsia="zh-CN"/>
              </w:rPr>
              <w:t>其他要求</w:t>
            </w:r>
          </w:p>
        </w:tc>
        <w:tc>
          <w:tcPr>
            <w:tcW w:w="4013" w:type="pct"/>
            <w:gridSpan w:val="2"/>
            <w:vAlign w:val="center"/>
          </w:tcPr>
          <w:p>
            <w:pPr>
              <w:pStyle w:val="2"/>
              <w:numPr>
                <w:ilvl w:val="0"/>
                <w:numId w:val="0"/>
              </w:numPr>
              <w:spacing w:line="400" w:lineRule="exact"/>
              <w:rPr>
                <w:rFonts w:hint="eastAsia" w:ascii="宋体" w:hAnsi="宋体" w:eastAsia="宋体" w:cs="宋体"/>
                <w:bCs/>
                <w:sz w:val="24"/>
              </w:rPr>
            </w:pPr>
            <w:r>
              <w:rPr>
                <w:rFonts w:hint="eastAsia"/>
                <w:bCs/>
                <w:color w:val="000000" w:themeColor="text1"/>
                <w:sz w:val="24"/>
                <w:lang w:val="en-US" w:eastAsia="zh-CN"/>
                <w14:textFill>
                  <w14:solidFill>
                    <w14:schemeClr w14:val="tx1"/>
                  </w14:solidFill>
                </w14:textFill>
              </w:rPr>
              <w:t>1、</w:t>
            </w:r>
            <w:r>
              <w:rPr>
                <w:rFonts w:hint="eastAsia"/>
                <w:bCs/>
                <w:color w:val="000000" w:themeColor="text1"/>
                <w:sz w:val="24"/>
                <w14:textFill>
                  <w14:solidFill>
                    <w14:schemeClr w14:val="tx1"/>
                  </w14:solidFill>
                </w14:textFill>
              </w:rPr>
              <w:t>签订合同后</w:t>
            </w:r>
            <w:r>
              <w:rPr>
                <w:rFonts w:hint="eastAsia" w:ascii="宋体" w:hAnsi="宋体" w:eastAsia="宋体" w:cs="宋体"/>
                <w:bCs/>
                <w:sz w:val="24"/>
              </w:rPr>
              <w:t>中标人须及时就仪器安装条件（包括环境条件、实验台、电力、气路要求、安装位置、防振等）与用户进行沟通，并安排技术人员前往现场协助确认。</w:t>
            </w:r>
          </w:p>
          <w:p>
            <w:pPr>
              <w:pStyle w:val="2"/>
              <w:numPr>
                <w:ilvl w:val="0"/>
                <w:numId w:val="0"/>
              </w:numPr>
              <w:spacing w:line="400" w:lineRule="exact"/>
              <w:rPr>
                <w:rFonts w:ascii="宋体" w:hAnsi="宋体" w:eastAsia="宋体" w:cs="宋体"/>
                <w:bCs/>
                <w:sz w:val="24"/>
              </w:rPr>
            </w:pPr>
            <w:r>
              <w:rPr>
                <w:rFonts w:hint="eastAsia" w:ascii="宋体" w:hAnsi="宋体" w:eastAsia="宋体" w:cs="宋体"/>
                <w:bCs/>
                <w:sz w:val="24"/>
                <w:lang w:val="en-US" w:eastAsia="zh-CN"/>
              </w:rPr>
              <w:t>2、</w:t>
            </w:r>
            <w:r>
              <w:rPr>
                <w:rFonts w:hint="eastAsia" w:ascii="宋体" w:hAnsi="宋体" w:eastAsia="宋体" w:cs="宋体"/>
                <w:bCs/>
                <w:sz w:val="24"/>
              </w:rPr>
              <w:t>到货前，中标人应为用户1-2名人员提供培训机会。</w:t>
            </w:r>
          </w:p>
          <w:p>
            <w:pPr>
              <w:pStyle w:val="2"/>
              <w:numPr>
                <w:ilvl w:val="0"/>
                <w:numId w:val="0"/>
              </w:numPr>
              <w:spacing w:line="400" w:lineRule="exact"/>
              <w:rPr>
                <w:rFonts w:ascii="宋体" w:hAnsi="宋体" w:eastAsia="宋体" w:cs="宋体"/>
                <w:bCs/>
                <w:sz w:val="24"/>
              </w:rPr>
            </w:pPr>
            <w:r>
              <w:rPr>
                <w:rFonts w:hint="eastAsia" w:ascii="宋体" w:hAnsi="宋体" w:eastAsia="宋体" w:cs="宋体"/>
                <w:bCs/>
                <w:sz w:val="24"/>
                <w:lang w:val="en-US" w:eastAsia="zh-CN"/>
              </w:rPr>
              <w:t>3、</w:t>
            </w:r>
            <w:r>
              <w:rPr>
                <w:rFonts w:hint="eastAsia" w:ascii="宋体" w:hAnsi="宋体" w:eastAsia="宋体" w:cs="宋体"/>
                <w:bCs/>
                <w:sz w:val="24"/>
              </w:rPr>
              <w:t>到货后中标人须在一周内安排仪器制造厂技术人员到用户的实验室现场进行仪器安装、调试、验收、现场操作使用培训，并提前与用户沟通。</w:t>
            </w:r>
          </w:p>
          <w:p>
            <w:pPr>
              <w:pStyle w:val="6"/>
              <w:spacing w:line="400" w:lineRule="exact"/>
              <w:ind w:firstLine="0" w:firstLineChars="0"/>
              <w:rPr>
                <w:rFonts w:hint="eastAsia" w:ascii="黑体" w:hAnsi="黑体" w:eastAsia="黑体" w:cs="黑体"/>
                <w:szCs w:val="21"/>
              </w:rPr>
            </w:pPr>
            <w:r>
              <w:rPr>
                <w:rFonts w:hint="eastAsia" w:ascii="宋体" w:hAnsi="宋体" w:eastAsia="宋体" w:cs="宋体"/>
                <w:bCs/>
                <w:sz w:val="24"/>
                <w:szCs w:val="24"/>
                <w:lang w:val="en-US" w:eastAsia="zh-CN"/>
              </w:rPr>
              <w:t>4、</w:t>
            </w:r>
            <w:r>
              <w:rPr>
                <w:rFonts w:hint="eastAsia" w:ascii="宋体" w:hAnsi="宋体" w:eastAsia="宋体" w:cs="宋体"/>
                <w:bCs/>
                <w:sz w:val="24"/>
                <w:szCs w:val="24"/>
              </w:rPr>
              <w:t>现场培训内容包括仪器的基本原理、操作、日常维护及基础分析仪器理论和上机操作等内容，现场培训直至使用人员能够独立进行软硬件操作、日常维护、方法开发和优化等。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sz w:val="24"/>
                <w:szCs w:val="24"/>
              </w:rPr>
            </w:pPr>
            <w:r>
              <w:rPr>
                <w:rFonts w:hint="eastAsia"/>
                <w:sz w:val="24"/>
                <w:szCs w:val="24"/>
              </w:rPr>
              <w:t>设备安装地点</w:t>
            </w:r>
          </w:p>
        </w:tc>
        <w:tc>
          <w:tcPr>
            <w:tcW w:w="4013" w:type="pct"/>
            <w:gridSpan w:val="2"/>
            <w:vAlign w:val="center"/>
          </w:tcPr>
          <w:p>
            <w:pPr>
              <w:spacing w:line="360" w:lineRule="auto"/>
              <w:jc w:val="left"/>
              <w:rPr>
                <w:rFonts w:ascii="黑体" w:hAnsi="黑体" w:eastAsia="黑体" w:cs="黑体"/>
                <w:szCs w:val="21"/>
              </w:rPr>
            </w:pPr>
            <w:r>
              <w:rPr>
                <w:rFonts w:hint="eastAsia" w:ascii="黑体" w:hAnsi="黑体" w:eastAsia="黑体" w:cs="黑体"/>
                <w:szCs w:val="21"/>
              </w:rPr>
              <w:t>山西省祁县六曲香</w:t>
            </w:r>
          </w:p>
        </w:tc>
      </w:tr>
    </w:tbl>
    <w:p>
      <w:pPr>
        <w:rPr>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br w:type="page"/>
      </w:r>
    </w:p>
    <w:p>
      <w:pPr>
        <w:pStyle w:val="6"/>
        <w:spacing w:line="360" w:lineRule="auto"/>
        <w:ind w:firstLine="0" w:firstLineChars="0"/>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近红外光谱仪及附属设备技术参数</w:t>
      </w:r>
    </w:p>
    <w:tbl>
      <w:tblPr>
        <w:tblStyle w:val="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0"/>
        <w:gridCol w:w="2009"/>
        <w:gridCol w:w="4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rFonts w:ascii="宋体" w:hAnsi="宋体" w:eastAsia="宋体" w:cs="宋体"/>
                <w:sz w:val="22"/>
              </w:rPr>
            </w:pPr>
            <w:r>
              <w:rPr>
                <w:rFonts w:hint="eastAsia" w:ascii="宋体" w:hAnsi="宋体" w:eastAsia="宋体" w:cs="宋体"/>
                <w:sz w:val="22"/>
                <w:highlight w:val="yellow"/>
              </w:rPr>
              <w:t>主设备型号</w:t>
            </w:r>
          </w:p>
        </w:tc>
        <w:tc>
          <w:tcPr>
            <w:tcW w:w="4013" w:type="pct"/>
            <w:gridSpan w:val="2"/>
            <w:vAlign w:val="center"/>
          </w:tcPr>
          <w:p>
            <w:pPr>
              <w:autoSpaceDE w:val="0"/>
              <w:autoSpaceDN w:val="0"/>
              <w:spacing w:line="238" w:lineRule="exact"/>
              <w:jc w:val="left"/>
              <w:rPr>
                <w:rFonts w:ascii="Times New Roman" w:hAnsi="Times New Roman" w:eastAsia="宋体" w:cs="Times New Roman"/>
                <w:sz w:val="22"/>
              </w:rPr>
            </w:pPr>
            <w:r>
              <w:rPr>
                <w:rFonts w:ascii="Times New Roman" w:hAnsi="Times New Roman" w:eastAsia="宋体" w:cs="Times New Roman"/>
                <w:color w:val="000000"/>
                <w:sz w:val="22"/>
              </w:rPr>
              <w:t>布鲁克MPA II  型傅立叶变换近红外红外光谱仪</w:t>
            </w:r>
            <w:r>
              <w:rPr>
                <w:rFonts w:hint="eastAsia" w:ascii="Times New Roman" w:hAnsi="Times New Roman" w:eastAsia="宋体" w:cs="Times New Roman"/>
                <w:color w:val="000000"/>
                <w:sz w:val="22"/>
              </w:rPr>
              <w:t>（液体样品检测）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restart"/>
            <w:vAlign w:val="center"/>
          </w:tcPr>
          <w:p>
            <w:pPr>
              <w:spacing w:line="360" w:lineRule="auto"/>
              <w:jc w:val="center"/>
              <w:rPr>
                <w:rFonts w:ascii="宋体" w:hAnsi="宋体" w:eastAsia="宋体" w:cs="宋体"/>
                <w:sz w:val="22"/>
              </w:rPr>
            </w:pPr>
            <w:r>
              <w:rPr>
                <w:rFonts w:hint="eastAsia" w:ascii="宋体" w:hAnsi="宋体" w:eastAsia="宋体" w:cs="宋体"/>
                <w:sz w:val="22"/>
              </w:rPr>
              <w:t>设备主要参数</w:t>
            </w:r>
          </w:p>
        </w:tc>
        <w:tc>
          <w:tcPr>
            <w:tcW w:w="1179" w:type="pct"/>
            <w:vAlign w:val="center"/>
          </w:tcPr>
          <w:p>
            <w:pPr>
              <w:spacing w:line="360" w:lineRule="auto"/>
              <w:jc w:val="left"/>
              <w:rPr>
                <w:rFonts w:ascii="Times New Roman" w:hAnsi="Times New Roman" w:eastAsia="宋体" w:cs="Times New Roman"/>
                <w:sz w:val="22"/>
              </w:rPr>
            </w:pPr>
            <w:r>
              <w:rPr>
                <w:rFonts w:ascii="Times New Roman" w:hAnsi="Times New Roman" w:eastAsia="宋体" w:cs="Times New Roman"/>
                <w:color w:val="000000"/>
                <w:sz w:val="22"/>
              </w:rPr>
              <w:t>分辨率</w:t>
            </w:r>
          </w:p>
        </w:tc>
        <w:tc>
          <w:tcPr>
            <w:tcW w:w="2834" w:type="pct"/>
            <w:vAlign w:val="center"/>
          </w:tcPr>
          <w:p>
            <w:pPr>
              <w:autoSpaceDE w:val="0"/>
              <w:autoSpaceDN w:val="0"/>
              <w:spacing w:line="238" w:lineRule="exact"/>
              <w:jc w:val="left"/>
              <w:rPr>
                <w:rFonts w:ascii="Times New Roman" w:hAnsi="Times New Roman" w:eastAsia="宋体" w:cs="Times New Roman"/>
                <w:sz w:val="22"/>
              </w:rPr>
            </w:pPr>
            <w:r>
              <w:rPr>
                <w:rFonts w:ascii="Times New Roman" w:hAnsi="Times New Roman" w:eastAsia="宋体" w:cs="Times New Roman"/>
                <w:color w:val="000000"/>
                <w:sz w:val="22"/>
              </w:rPr>
              <w:t>2cm-1 （0.3nm 在 1,250nm）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pStyle w:val="6"/>
              <w:spacing w:line="360" w:lineRule="auto"/>
              <w:ind w:firstLine="0" w:firstLineChars="0"/>
              <w:jc w:val="left"/>
              <w:rPr>
                <w:rFonts w:ascii="Times New Roman" w:hAnsi="Times New Roman" w:eastAsia="宋体" w:cs="Times New Roman"/>
                <w:sz w:val="22"/>
              </w:rPr>
            </w:pPr>
            <w:r>
              <w:rPr>
                <w:rFonts w:ascii="Times New Roman" w:hAnsi="Times New Roman" w:eastAsia="宋体" w:cs="Times New Roman"/>
                <w:color w:val="000000"/>
                <w:sz w:val="22"/>
              </w:rPr>
              <w:t>谱区范围</w:t>
            </w:r>
          </w:p>
        </w:tc>
        <w:tc>
          <w:tcPr>
            <w:tcW w:w="2834" w:type="pct"/>
            <w:vAlign w:val="center"/>
          </w:tcPr>
          <w:p>
            <w:pPr>
              <w:autoSpaceDE w:val="0"/>
              <w:autoSpaceDN w:val="0"/>
              <w:spacing w:line="201" w:lineRule="exact"/>
              <w:jc w:val="left"/>
              <w:rPr>
                <w:rFonts w:ascii="Times New Roman" w:hAnsi="Times New Roman" w:eastAsia="宋体" w:cs="Times New Roman"/>
                <w:sz w:val="22"/>
              </w:rPr>
            </w:pPr>
            <w:r>
              <w:rPr>
                <w:rFonts w:ascii="Times New Roman" w:hAnsi="Times New Roman" w:eastAsia="宋体" w:cs="Times New Roman"/>
                <w:color w:val="000000"/>
                <w:sz w:val="22"/>
              </w:rPr>
              <w:t>12,800-4,000cm-1(780-2,500nm)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pStyle w:val="6"/>
              <w:spacing w:line="360" w:lineRule="auto"/>
              <w:ind w:firstLine="0" w:firstLineChars="0"/>
              <w:jc w:val="left"/>
              <w:rPr>
                <w:rFonts w:ascii="Times New Roman" w:hAnsi="Times New Roman" w:eastAsia="宋体" w:cs="Times New Roman"/>
                <w:color w:val="000000"/>
                <w:sz w:val="22"/>
              </w:rPr>
            </w:pPr>
            <w:r>
              <w:rPr>
                <w:rFonts w:ascii="Times New Roman" w:hAnsi="Times New Roman" w:eastAsia="宋体" w:cs="Times New Roman"/>
                <w:color w:val="000000"/>
                <w:sz w:val="22"/>
              </w:rPr>
              <w:t>波数精度</w:t>
            </w:r>
          </w:p>
        </w:tc>
        <w:tc>
          <w:tcPr>
            <w:tcW w:w="2834" w:type="pct"/>
            <w:vAlign w:val="center"/>
          </w:tcPr>
          <w:p>
            <w:pPr>
              <w:autoSpaceDE w:val="0"/>
              <w:autoSpaceDN w:val="0"/>
              <w:spacing w:line="238" w:lineRule="exact"/>
              <w:jc w:val="left"/>
              <w:rPr>
                <w:rFonts w:ascii="Times New Roman" w:hAnsi="Times New Roman" w:eastAsia="宋体" w:cs="Times New Roman"/>
                <w:color w:val="000000"/>
                <w:sz w:val="22"/>
              </w:rPr>
            </w:pPr>
            <w:r>
              <w:rPr>
                <w:rFonts w:ascii="Times New Roman" w:hAnsi="Times New Roman" w:eastAsia="宋体" w:cs="Times New Roman"/>
                <w:color w:val="000000"/>
                <w:sz w:val="22"/>
              </w:rPr>
              <w:t>优于 0.04 cm-1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pStyle w:val="6"/>
              <w:spacing w:line="360" w:lineRule="auto"/>
              <w:ind w:firstLine="0" w:firstLineChars="0"/>
              <w:jc w:val="left"/>
              <w:rPr>
                <w:rFonts w:ascii="Times New Roman" w:hAnsi="Times New Roman" w:eastAsia="宋体" w:cs="Times New Roman"/>
                <w:color w:val="000000"/>
                <w:sz w:val="22"/>
              </w:rPr>
            </w:pPr>
            <w:r>
              <w:rPr>
                <w:rFonts w:ascii="Times New Roman" w:hAnsi="Times New Roman" w:eastAsia="宋体" w:cs="Times New Roman"/>
                <w:color w:val="000000"/>
                <w:sz w:val="22"/>
              </w:rPr>
              <w:t>波数准确度</w:t>
            </w:r>
          </w:p>
        </w:tc>
        <w:tc>
          <w:tcPr>
            <w:tcW w:w="2834" w:type="pct"/>
            <w:vAlign w:val="center"/>
          </w:tcPr>
          <w:p>
            <w:pPr>
              <w:autoSpaceDE w:val="0"/>
              <w:autoSpaceDN w:val="0"/>
              <w:spacing w:line="201" w:lineRule="exact"/>
              <w:jc w:val="left"/>
              <w:rPr>
                <w:rFonts w:ascii="Times New Roman" w:hAnsi="Times New Roman" w:eastAsia="宋体" w:cs="Times New Roman"/>
                <w:color w:val="000000"/>
                <w:sz w:val="22"/>
              </w:rPr>
            </w:pPr>
            <w:r>
              <w:rPr>
                <w:rFonts w:ascii="Times New Roman" w:hAnsi="Times New Roman" w:eastAsia="宋体" w:cs="Times New Roman"/>
                <w:color w:val="000000"/>
                <w:sz w:val="22"/>
              </w:rPr>
              <w:t>优于 0.1 cm-1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pStyle w:val="6"/>
              <w:spacing w:line="360" w:lineRule="auto"/>
              <w:ind w:firstLine="0" w:firstLineChars="0"/>
              <w:jc w:val="left"/>
              <w:rPr>
                <w:rFonts w:ascii="Times New Roman" w:hAnsi="Times New Roman" w:eastAsia="宋体" w:cs="Times New Roman"/>
                <w:color w:val="000000"/>
                <w:sz w:val="22"/>
              </w:rPr>
            </w:pPr>
            <w:r>
              <w:rPr>
                <w:rFonts w:ascii="Times New Roman" w:hAnsi="Times New Roman" w:eastAsia="宋体" w:cs="Times New Roman"/>
                <w:color w:val="000000"/>
                <w:sz w:val="22"/>
              </w:rPr>
              <w:t>透光率精度</w:t>
            </w:r>
          </w:p>
        </w:tc>
        <w:tc>
          <w:tcPr>
            <w:tcW w:w="2834" w:type="pct"/>
            <w:vAlign w:val="center"/>
          </w:tcPr>
          <w:p>
            <w:pPr>
              <w:autoSpaceDE w:val="0"/>
              <w:autoSpaceDN w:val="0"/>
              <w:spacing w:line="240" w:lineRule="exact"/>
              <w:jc w:val="left"/>
              <w:rPr>
                <w:rFonts w:ascii="Times New Roman" w:hAnsi="Times New Roman" w:eastAsia="宋体" w:cs="Times New Roman"/>
                <w:color w:val="000000"/>
                <w:sz w:val="22"/>
              </w:rPr>
            </w:pPr>
            <w:r>
              <w:rPr>
                <w:rFonts w:ascii="Times New Roman" w:hAnsi="Times New Roman" w:eastAsia="宋体" w:cs="Times New Roman"/>
                <w:color w:val="000000"/>
                <w:sz w:val="22"/>
              </w:rPr>
              <w:t>优于  0.1%T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pStyle w:val="6"/>
              <w:spacing w:line="360" w:lineRule="auto"/>
              <w:ind w:firstLine="0" w:firstLineChars="0"/>
              <w:jc w:val="left"/>
              <w:rPr>
                <w:rFonts w:hint="eastAsia" w:ascii="Times New Roman" w:hAnsi="Times New Roman" w:eastAsia="宋体" w:cs="Times New Roman"/>
                <w:color w:val="000000"/>
                <w:sz w:val="22"/>
                <w:lang w:val="en-US" w:eastAsia="zh-CN"/>
              </w:rPr>
            </w:pPr>
            <w:r>
              <w:rPr>
                <w:rFonts w:ascii="Times New Roman" w:hAnsi="Times New Roman" w:eastAsia="宋体" w:cs="Times New Roman"/>
                <w:color w:val="000000"/>
                <w:sz w:val="22"/>
              </w:rPr>
              <w:t>检测</w:t>
            </w:r>
            <w:r>
              <w:rPr>
                <w:rFonts w:hint="eastAsia" w:ascii="Times New Roman" w:hAnsi="Times New Roman" w:eastAsia="宋体" w:cs="Times New Roman"/>
                <w:color w:val="000000"/>
                <w:sz w:val="22"/>
                <w:lang w:val="en-US" w:eastAsia="zh-CN"/>
              </w:rPr>
              <w:t>单元</w:t>
            </w:r>
          </w:p>
        </w:tc>
        <w:tc>
          <w:tcPr>
            <w:tcW w:w="2834" w:type="pct"/>
            <w:vAlign w:val="center"/>
          </w:tcPr>
          <w:p>
            <w:pPr>
              <w:autoSpaceDE w:val="0"/>
              <w:autoSpaceDN w:val="0"/>
              <w:jc w:val="left"/>
              <w:rPr>
                <w:rFonts w:ascii="Times New Roman" w:hAnsi="Times New Roman" w:eastAsia="宋体" w:cs="Times New Roman"/>
                <w:color w:val="000000"/>
                <w:sz w:val="22"/>
              </w:rPr>
            </w:pPr>
            <w:r>
              <w:rPr>
                <w:rFonts w:ascii="Times New Roman" w:hAnsi="Times New Roman" w:eastAsia="宋体" w:cs="Times New Roman"/>
                <w:color w:val="000000"/>
                <w:sz w:val="22"/>
              </w:rPr>
              <w:t>配备样品槽(用于8mm 直径的小管子)用于液体透射分析，样品槽可加热样品至 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pStyle w:val="6"/>
              <w:spacing w:line="360" w:lineRule="auto"/>
              <w:ind w:firstLine="0" w:firstLineChars="0"/>
              <w:jc w:val="left"/>
              <w:rPr>
                <w:rFonts w:hint="eastAsia" w:ascii="Times New Roman" w:hAnsi="Times New Roman" w:eastAsia="宋体" w:cs="Times New Roman"/>
                <w:color w:val="000000"/>
                <w:sz w:val="22"/>
                <w:lang w:val="en-US" w:eastAsia="zh-CN"/>
              </w:rPr>
            </w:pPr>
            <w:r>
              <w:rPr>
                <w:rFonts w:hint="eastAsia" w:ascii="Times New Roman" w:hAnsi="Times New Roman" w:eastAsia="宋体" w:cs="Times New Roman"/>
                <w:color w:val="000000"/>
                <w:sz w:val="22"/>
                <w:lang w:val="en-US" w:eastAsia="zh-CN"/>
              </w:rPr>
              <w:t>性能</w:t>
            </w:r>
          </w:p>
        </w:tc>
        <w:tc>
          <w:tcPr>
            <w:tcW w:w="2834" w:type="pct"/>
            <w:vAlign w:val="center"/>
          </w:tcPr>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Performance  性能：</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Resolution:</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2cm-1 （0.3nm at 1,250nm）</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分辨率：</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2cm-1 （0.3nm 在 1,250nm  处）</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Spectral Range:   12,800-4,000cm-1(780-2,500nm)</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谱区范围：</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12,800-4,000cm-1(780-2,500nm)</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Wavenumber reproducibility:    Better than 0.04cm-1</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波数精度：</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优于 0.04 cm-1</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Wavenumber accuracy:</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波数准确度：</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Photometric accuracy:</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透光率精度：</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Better than 0.1 cm-1</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优于 0.1 cm-1</w:t>
            </w:r>
          </w:p>
          <w:p>
            <w:pPr>
              <w:widowControl w:val="0"/>
              <w:autoSpaceDE w:val="0"/>
              <w:autoSpaceDN w:val="0"/>
              <w:spacing w:before="0" w:after="0" w:line="240" w:lineRule="auto"/>
              <w:ind w:left="247"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Better than 0.1 % T</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优于  0.1%T</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Optical system  光学系统：</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Design: Compact, sealed and desiccated optics housing, integrated validation</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features (PQ)</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设计：紧凑设计、密封干燥的光学台，内置系统校验（PQ）。</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IR-source:  A new and specially designed source technology will be available with</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MPA II. The average lifetime of this source will be &gt;2 years..</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IR 光源：新设计 NIR 光源，平均寿命大于 2  年。</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Interferometer: Proprietary highly stable and vibration insensitive  interferometer</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system ("Rock-solid") with mechanical, permanently aligned.</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干涉仪：专利产品(Rock-solid)干涉仪，高稳定性，抗振动，永远准直。</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Beamsplitter:  Quartz substrate with proprietary coating,.</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分束器：多层覆盖,  石英分束器。</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Detector:  High sensitivity InGaAs detector, thermoelectrically cooled</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检测器：半导体冷却的高灵敏度 InGaAs  检测器。</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Scanner:  Mechanical, frictionless bearing (no compressed air required), 3 selectable</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mirror velocities, Scan rated: 5 spectra/ sec at 8 cm-1 resolution.</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扫描仪：机械、无摩擦轴承（不需压缩空气），3 种动镜速率，扫描速度：8cm-1  光谱</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分辨率下，5 张光谱/秒。</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Validation:  IVU-internal validation unit</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验证：内置式仪器自我验证系统。</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Electronics  电子线路：</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Automation: Microprocessor controlled optical bench, digital speed control, automatic</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gain selection, advanced system check, power saving mode. Option: Remote control</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of beam exit port (e.g. for fiber optic coupling), TTL ports; automatic sample changer.</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自动化：微处理器控制光学台，数字化动镜控制，自动增益选择，动态分辨率增强，</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高级的系统诊断，电源存储模式。可选：外接光路远程控制（如光纤探头接口），TTL</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控制接口；自动样品转换器等。</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A/D converter:  24 bit.</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模/数转换器：24  位。</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Spectrometer Power:  100-240 VAC, 50-60 Hz, 100W</w:t>
            </w:r>
          </w:p>
          <w:p>
            <w:pPr>
              <w:widowControl w:val="0"/>
              <w:autoSpaceDE w:val="0"/>
              <w:autoSpaceDN w:val="0"/>
              <w:spacing w:before="0" w:after="0" w:line="240" w:lineRule="auto"/>
              <w:ind w:left="0" w:right="0"/>
              <w:jc w:val="left"/>
              <w:rPr>
                <w:rFonts w:hint="eastAsia" w:ascii="宋体" w:hAnsi="宋体" w:eastAsia="宋体" w:cs="宋体"/>
                <w:color w:val="000000"/>
                <w:spacing w:val="0"/>
                <w:sz w:val="22"/>
                <w:szCs w:val="32"/>
              </w:rPr>
            </w:pPr>
            <w:r>
              <w:rPr>
                <w:rFonts w:hint="eastAsia" w:ascii="宋体" w:hAnsi="宋体" w:eastAsia="宋体" w:cs="宋体"/>
                <w:color w:val="000000"/>
                <w:spacing w:val="0"/>
                <w:sz w:val="22"/>
                <w:szCs w:val="32"/>
              </w:rPr>
              <w:t>仪器电源：100-240 VAC, 50-60 Hz, 100W</w:t>
            </w:r>
          </w:p>
          <w:p>
            <w:pPr>
              <w:autoSpaceDE w:val="0"/>
              <w:autoSpaceDN w:val="0"/>
              <w:jc w:val="left"/>
              <w:rPr>
                <w:rFonts w:ascii="Times New Roman" w:hAnsi="Times New Roman" w:eastAsia="宋体" w:cs="Times New Roman"/>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pStyle w:val="6"/>
              <w:spacing w:line="360" w:lineRule="auto"/>
              <w:ind w:firstLine="0" w:firstLineChars="0"/>
              <w:jc w:val="left"/>
              <w:rPr>
                <w:rFonts w:ascii="Times New Roman" w:hAnsi="Times New Roman" w:eastAsia="宋体" w:cs="Times New Roman"/>
                <w:color w:val="000000"/>
                <w:sz w:val="22"/>
              </w:rPr>
            </w:pPr>
            <w:r>
              <w:rPr>
                <w:rFonts w:ascii="Times New Roman" w:hAnsi="Times New Roman" w:eastAsia="宋体" w:cs="Times New Roman"/>
                <w:color w:val="000000"/>
                <w:sz w:val="22"/>
              </w:rPr>
              <w:t>分析软件</w:t>
            </w:r>
          </w:p>
        </w:tc>
        <w:tc>
          <w:tcPr>
            <w:tcW w:w="2834" w:type="pct"/>
            <w:vAlign w:val="center"/>
          </w:tcPr>
          <w:p>
            <w:pPr>
              <w:autoSpaceDE w:val="0"/>
              <w:autoSpaceDN w:val="0"/>
              <w:jc w:val="left"/>
              <w:rPr>
                <w:rFonts w:ascii="Times New Roman" w:hAnsi="Times New Roman" w:eastAsia="宋体" w:cs="Times New Roman"/>
                <w:color w:val="000000"/>
                <w:sz w:val="22"/>
              </w:rPr>
            </w:pPr>
            <w:r>
              <w:rPr>
                <w:rFonts w:ascii="Times New Roman" w:hAnsi="Times New Roman" w:eastAsia="宋体" w:cs="Times New Roman"/>
                <w:color w:val="000000"/>
                <w:sz w:val="22"/>
              </w:rPr>
              <w:t>OPUS/QUANT软件，用于全光谱多元分析的定量分析软件包，具有模型建立、提供多</w:t>
            </w:r>
          </w:p>
          <w:p>
            <w:pPr>
              <w:autoSpaceDE w:val="0"/>
              <w:autoSpaceDN w:val="0"/>
              <w:jc w:val="left"/>
              <w:rPr>
                <w:rFonts w:ascii="Times New Roman" w:hAnsi="Times New Roman" w:eastAsia="宋体" w:cs="Times New Roman"/>
                <w:color w:val="000000"/>
                <w:sz w:val="22"/>
              </w:rPr>
            </w:pPr>
            <w:r>
              <w:rPr>
                <w:rFonts w:ascii="Times New Roman" w:hAnsi="Times New Roman" w:eastAsia="宋体" w:cs="Times New Roman"/>
                <w:color w:val="000000"/>
                <w:sz w:val="22"/>
              </w:rPr>
              <w:t>种光谱预处理方法和验证选择。同时具有自动优化建立模型的强大功能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rFonts w:hint="eastAsia" w:eastAsiaTheme="minorEastAsia"/>
                <w:sz w:val="24"/>
                <w:szCs w:val="24"/>
                <w:highlight w:val="none"/>
                <w:lang w:val="en-US" w:eastAsia="zh-CN"/>
              </w:rPr>
            </w:pPr>
            <w:r>
              <w:rPr>
                <w:rFonts w:hint="eastAsia"/>
                <w:sz w:val="24"/>
                <w:szCs w:val="24"/>
                <w:highlight w:val="none"/>
                <w:lang w:val="en-US" w:eastAsia="zh-CN"/>
              </w:rPr>
              <w:t>配件</w:t>
            </w:r>
          </w:p>
        </w:tc>
        <w:tc>
          <w:tcPr>
            <w:tcW w:w="4013" w:type="pct"/>
            <w:gridSpan w:val="2"/>
            <w:vAlign w:val="center"/>
          </w:tcPr>
          <w:p>
            <w:pPr>
              <w:widowControl w:val="0"/>
              <w:autoSpaceDE w:val="0"/>
              <w:autoSpaceDN w:val="0"/>
              <w:spacing w:before="0" w:after="0" w:line="240" w:lineRule="exact"/>
              <w:ind w:left="0" w:right="0"/>
              <w:jc w:val="left"/>
              <w:rPr>
                <w:rFonts w:hint="eastAsia" w:ascii="宋体" w:hAnsi="宋体" w:eastAsia="宋体" w:cs="宋体"/>
                <w:sz w:val="22"/>
                <w:szCs w:val="22"/>
                <w:lang w:eastAsia="zh-CN"/>
              </w:rPr>
            </w:pPr>
            <w:r>
              <w:rPr>
                <w:rFonts w:hint="eastAsia" w:ascii="宋体" w:hAnsi="宋体" w:eastAsia="宋体" w:cs="宋体"/>
                <w:color w:val="000000"/>
                <w:spacing w:val="0"/>
                <w:sz w:val="22"/>
                <w:szCs w:val="22"/>
              </w:rPr>
              <w:t>矩形比色皿，光程1mm ，一套4只</w:t>
            </w:r>
            <w:r>
              <w:rPr>
                <w:rFonts w:hint="eastAsia" w:ascii="宋体" w:hAnsi="宋体" w:eastAsia="宋体" w:cs="宋体"/>
                <w:color w:val="000000"/>
                <w:spacing w:val="0"/>
                <w:sz w:val="22"/>
                <w:szCs w:val="22"/>
                <w:lang w:eastAsia="zh-CN"/>
              </w:rPr>
              <w:t>（</w:t>
            </w:r>
            <w:r>
              <w:rPr>
                <w:rFonts w:hint="eastAsia" w:ascii="宋体" w:hAnsi="宋体" w:eastAsia="宋体" w:cs="宋体"/>
                <w:color w:val="000000"/>
                <w:spacing w:val="0"/>
                <w:sz w:val="22"/>
                <w:szCs w:val="22"/>
              </w:rPr>
              <w:t>IN420-01</w:t>
            </w:r>
            <w:r>
              <w:rPr>
                <w:rFonts w:hint="eastAsia" w:ascii="宋体" w:hAnsi="宋体" w:eastAsia="宋体" w:cs="宋体"/>
                <w:color w:val="000000"/>
                <w:spacing w:val="0"/>
                <w:sz w:val="22"/>
                <w:szCs w:val="22"/>
                <w:lang w:eastAsia="zh-CN"/>
              </w:rPr>
              <w:t>）</w:t>
            </w:r>
            <w:r>
              <w:rPr>
                <w:rFonts w:hint="eastAsia" w:ascii="宋体" w:hAnsi="宋体" w:eastAsia="宋体" w:cs="宋体"/>
                <w:color w:val="000000"/>
                <w:spacing w:val="0"/>
                <w:sz w:val="22"/>
                <w:szCs w:val="22"/>
              </w:rPr>
              <w:t>矩形比色皿插槽，光程1mm</w:t>
            </w:r>
            <w:r>
              <w:rPr>
                <w:rFonts w:hint="eastAsia" w:ascii="宋体" w:hAnsi="宋体" w:eastAsia="宋体" w:cs="宋体"/>
                <w:color w:val="000000"/>
                <w:spacing w:val="0"/>
                <w:sz w:val="22"/>
                <w:szCs w:val="22"/>
                <w:lang w:eastAsia="zh-CN"/>
              </w:rPr>
              <w:t>（</w:t>
            </w:r>
            <w:r>
              <w:rPr>
                <w:rFonts w:hint="eastAsia" w:ascii="宋体" w:hAnsi="宋体" w:eastAsia="宋体" w:cs="宋体"/>
                <w:color w:val="000000"/>
                <w:spacing w:val="0"/>
                <w:sz w:val="22"/>
                <w:szCs w:val="22"/>
              </w:rPr>
              <w:t>IN601CR1</w:t>
            </w:r>
            <w:r>
              <w:rPr>
                <w:rFonts w:hint="eastAsia" w:ascii="宋体" w:hAnsi="宋体" w:eastAsia="宋体" w:cs="宋体"/>
                <w:color w:val="000000"/>
                <w:spacing w:val="0"/>
                <w:sz w:val="22"/>
                <w:szCs w:val="2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sz w:val="24"/>
                <w:szCs w:val="24"/>
                <w:highlight w:val="none"/>
              </w:rPr>
            </w:pPr>
            <w:r>
              <w:rPr>
                <w:rFonts w:hint="eastAsia"/>
                <w:sz w:val="24"/>
                <w:szCs w:val="24"/>
                <w:highlight w:val="none"/>
              </w:rPr>
              <w:t>附属设备</w:t>
            </w:r>
          </w:p>
        </w:tc>
        <w:tc>
          <w:tcPr>
            <w:tcW w:w="4013" w:type="pct"/>
            <w:gridSpan w:val="2"/>
            <w:vAlign w:val="center"/>
          </w:tcPr>
          <w:p>
            <w:pPr>
              <w:jc w:val="left"/>
              <w:rPr>
                <w:rFonts w:ascii="黑体" w:hAnsi="黑体" w:eastAsia="黑体" w:cs="黑体"/>
                <w:szCs w:val="21"/>
              </w:rPr>
            </w:pPr>
            <w:r>
              <w:rPr>
                <w:rFonts w:hint="eastAsia" w:ascii="黑体" w:hAnsi="黑体" w:eastAsia="黑体" w:cs="黑体"/>
                <w:szCs w:val="21"/>
              </w:rPr>
              <w:t>电脑</w:t>
            </w:r>
            <w:r>
              <w:rPr>
                <w:rFonts w:hint="eastAsia" w:ascii="黑体" w:hAnsi="黑体" w:eastAsia="黑体" w:cs="黑体"/>
                <w:szCs w:val="21"/>
                <w:lang w:eastAsia="zh-CN"/>
              </w:rPr>
              <w:t>（</w:t>
            </w:r>
            <w:r>
              <w:rPr>
                <w:rFonts w:hint="eastAsia" w:ascii="黑体" w:hAnsi="黑体" w:eastAsia="黑体" w:cs="黑体"/>
                <w:szCs w:val="21"/>
                <w:lang w:val="en-US" w:eastAsia="zh-CN"/>
              </w:rPr>
              <w:t>戴尔</w:t>
            </w:r>
            <w:r>
              <w:rPr>
                <w:rFonts w:hint="eastAsia" w:ascii="黑体" w:hAnsi="黑体" w:eastAsia="黑体" w:cs="黑体"/>
                <w:szCs w:val="21"/>
                <w:lang w:eastAsia="zh-CN"/>
              </w:rPr>
              <w:t>）</w:t>
            </w:r>
            <w:r>
              <w:rPr>
                <w:rFonts w:ascii="黑体" w:hAnsi="黑体" w:eastAsia="黑体" w:cs="黑体"/>
                <w:szCs w:val="21"/>
              </w:rPr>
              <w:t>i5/8G/500G</w:t>
            </w:r>
          </w:p>
          <w:p>
            <w:pPr>
              <w:jc w:val="left"/>
              <w:rPr>
                <w:rFonts w:ascii="黑体" w:hAnsi="黑体" w:eastAsia="黑体" w:cs="黑体"/>
                <w:szCs w:val="21"/>
              </w:rPr>
            </w:pPr>
            <w:r>
              <w:rPr>
                <w:rFonts w:hint="eastAsia" w:ascii="黑体" w:hAnsi="黑体" w:eastAsia="黑体" w:cs="黑体"/>
                <w:szCs w:val="21"/>
              </w:rPr>
              <w:t>DVDRW/</w:t>
            </w:r>
            <w:r>
              <w:rPr>
                <w:rFonts w:hint="eastAsia" w:ascii="黑体" w:hAnsi="黑体" w:eastAsia="黑体" w:cs="黑体"/>
                <w:szCs w:val="21"/>
                <w:lang w:val="en-US" w:eastAsia="zh-CN"/>
              </w:rPr>
              <w:t>2G独显</w:t>
            </w:r>
          </w:p>
          <w:p>
            <w:pPr>
              <w:jc w:val="left"/>
              <w:rPr>
                <w:rFonts w:ascii="黑体" w:hAnsi="黑体" w:eastAsia="黑体" w:cs="黑体"/>
                <w:szCs w:val="21"/>
              </w:rPr>
            </w:pPr>
            <w:r>
              <w:rPr>
                <w:rFonts w:hint="eastAsia" w:ascii="黑体" w:hAnsi="黑体" w:eastAsia="黑体" w:cs="黑体"/>
                <w:szCs w:val="21"/>
              </w:rPr>
              <w:t>Windows 10 专业版 中文/64位</w:t>
            </w:r>
          </w:p>
          <w:p>
            <w:pPr>
              <w:spacing w:line="360" w:lineRule="auto"/>
              <w:jc w:val="left"/>
              <w:rPr>
                <w:rFonts w:ascii="黑体" w:hAnsi="黑体" w:eastAsia="黑体" w:cs="黑体"/>
                <w:szCs w:val="21"/>
              </w:rPr>
            </w:pPr>
            <w:r>
              <w:rPr>
                <w:rFonts w:hint="eastAsia" w:ascii="黑体" w:hAnsi="黑体" w:eastAsia="黑体" w:cs="黑体"/>
                <w:szCs w:val="21"/>
              </w:rPr>
              <w:t>要求必须安装正版系统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rFonts w:hint="eastAsia"/>
                <w:sz w:val="24"/>
                <w:szCs w:val="24"/>
              </w:rPr>
            </w:pPr>
            <w:r>
              <w:rPr>
                <w:rFonts w:hint="eastAsia"/>
                <w:sz w:val="24"/>
                <w:szCs w:val="24"/>
                <w:lang w:val="en-US" w:eastAsia="zh-CN"/>
              </w:rPr>
              <w:t>其他要求</w:t>
            </w:r>
          </w:p>
        </w:tc>
        <w:tc>
          <w:tcPr>
            <w:tcW w:w="4013" w:type="pct"/>
            <w:gridSpan w:val="2"/>
            <w:vAlign w:val="center"/>
          </w:tcPr>
          <w:p>
            <w:pPr>
              <w:pStyle w:val="2"/>
              <w:numPr>
                <w:ilvl w:val="0"/>
                <w:numId w:val="0"/>
              </w:numPr>
              <w:spacing w:line="400" w:lineRule="exact"/>
              <w:rPr>
                <w:rFonts w:hint="eastAsia" w:ascii="宋体" w:hAnsi="宋体" w:eastAsia="宋体" w:cs="宋体"/>
                <w:bCs/>
                <w:sz w:val="24"/>
              </w:rPr>
            </w:pPr>
            <w:r>
              <w:rPr>
                <w:rFonts w:hint="eastAsia"/>
                <w:bCs/>
                <w:color w:val="000000" w:themeColor="text1"/>
                <w:sz w:val="24"/>
                <w:lang w:val="en-US" w:eastAsia="zh-CN"/>
                <w14:textFill>
                  <w14:solidFill>
                    <w14:schemeClr w14:val="tx1"/>
                  </w14:solidFill>
                </w14:textFill>
              </w:rPr>
              <w:t>1、</w:t>
            </w:r>
            <w:r>
              <w:rPr>
                <w:rFonts w:hint="eastAsia"/>
                <w:bCs/>
                <w:color w:val="000000" w:themeColor="text1"/>
                <w:sz w:val="24"/>
                <w14:textFill>
                  <w14:solidFill>
                    <w14:schemeClr w14:val="tx1"/>
                  </w14:solidFill>
                </w14:textFill>
              </w:rPr>
              <w:t>签订合同后</w:t>
            </w:r>
            <w:r>
              <w:rPr>
                <w:rFonts w:hint="eastAsia" w:ascii="宋体" w:hAnsi="宋体" w:eastAsia="宋体" w:cs="宋体"/>
                <w:bCs/>
                <w:sz w:val="24"/>
              </w:rPr>
              <w:t>中标人须及时就仪器安装条件（包括环境条件、实验台、电力、气路要求、安装位置、防振等）与用户进行沟通，并安排技术人员前往现场协助确认。</w:t>
            </w:r>
          </w:p>
          <w:p>
            <w:pPr>
              <w:pStyle w:val="2"/>
              <w:numPr>
                <w:ilvl w:val="0"/>
                <w:numId w:val="0"/>
              </w:numPr>
              <w:spacing w:line="400" w:lineRule="exact"/>
              <w:rPr>
                <w:rFonts w:ascii="宋体" w:hAnsi="宋体" w:eastAsia="宋体" w:cs="宋体"/>
                <w:bCs/>
                <w:sz w:val="24"/>
              </w:rPr>
            </w:pPr>
            <w:r>
              <w:rPr>
                <w:rFonts w:hint="eastAsia" w:ascii="宋体" w:hAnsi="宋体" w:eastAsia="宋体" w:cs="宋体"/>
                <w:bCs/>
                <w:sz w:val="24"/>
                <w:lang w:val="en-US" w:eastAsia="zh-CN"/>
              </w:rPr>
              <w:t>2、</w:t>
            </w:r>
            <w:r>
              <w:rPr>
                <w:rFonts w:hint="eastAsia" w:ascii="宋体" w:hAnsi="宋体" w:eastAsia="宋体" w:cs="宋体"/>
                <w:bCs/>
                <w:sz w:val="24"/>
              </w:rPr>
              <w:t>到货前，中标人应为用户1-2名人员提供培训机会。</w:t>
            </w:r>
          </w:p>
          <w:p>
            <w:pPr>
              <w:pStyle w:val="2"/>
              <w:numPr>
                <w:ilvl w:val="0"/>
                <w:numId w:val="0"/>
              </w:numPr>
              <w:spacing w:line="400" w:lineRule="exact"/>
              <w:rPr>
                <w:rFonts w:ascii="宋体" w:hAnsi="宋体" w:eastAsia="宋体" w:cs="宋体"/>
                <w:bCs/>
                <w:sz w:val="24"/>
              </w:rPr>
            </w:pPr>
            <w:r>
              <w:rPr>
                <w:rFonts w:hint="eastAsia" w:ascii="宋体" w:hAnsi="宋体" w:eastAsia="宋体" w:cs="宋体"/>
                <w:bCs/>
                <w:sz w:val="24"/>
                <w:lang w:val="en-US" w:eastAsia="zh-CN"/>
              </w:rPr>
              <w:t>3、</w:t>
            </w:r>
            <w:r>
              <w:rPr>
                <w:rFonts w:hint="eastAsia" w:ascii="宋体" w:hAnsi="宋体" w:eastAsia="宋体" w:cs="宋体"/>
                <w:bCs/>
                <w:sz w:val="24"/>
              </w:rPr>
              <w:t>到货后中标人须在一周内安排仪器制造厂技术人员到用户的实验室现场进行仪器安装、调试、验收、现场操作使用培训，并提前与用户沟通。</w:t>
            </w:r>
          </w:p>
          <w:p>
            <w:pPr>
              <w:pStyle w:val="6"/>
              <w:spacing w:line="400" w:lineRule="exact"/>
              <w:ind w:firstLine="0" w:firstLineChars="0"/>
              <w:rPr>
                <w:rFonts w:hint="eastAsia" w:ascii="黑体" w:hAnsi="黑体" w:eastAsia="黑体" w:cs="黑体"/>
                <w:szCs w:val="21"/>
              </w:rPr>
            </w:pPr>
            <w:r>
              <w:rPr>
                <w:rFonts w:hint="eastAsia" w:ascii="宋体" w:hAnsi="宋体" w:eastAsia="宋体" w:cs="宋体"/>
                <w:bCs/>
                <w:sz w:val="24"/>
                <w:szCs w:val="24"/>
                <w:lang w:val="en-US" w:eastAsia="zh-CN"/>
              </w:rPr>
              <w:t>4、</w:t>
            </w:r>
            <w:r>
              <w:rPr>
                <w:rFonts w:hint="eastAsia" w:ascii="宋体" w:hAnsi="宋体" w:eastAsia="宋体" w:cs="宋体"/>
                <w:bCs/>
                <w:sz w:val="24"/>
                <w:szCs w:val="24"/>
              </w:rPr>
              <w:t>现场培训内容包括仪器的基本原理、操作、日常维护及基础分析仪器理论和上机操作等内容，现场培训直至使用人员能够独立进行软硬件操作、日常维护、方法开发和优化等。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sz w:val="24"/>
                <w:szCs w:val="24"/>
              </w:rPr>
            </w:pPr>
            <w:r>
              <w:rPr>
                <w:rFonts w:hint="eastAsia"/>
                <w:sz w:val="24"/>
                <w:szCs w:val="24"/>
              </w:rPr>
              <w:t>设备安装地点</w:t>
            </w:r>
          </w:p>
        </w:tc>
        <w:tc>
          <w:tcPr>
            <w:tcW w:w="4013" w:type="pct"/>
            <w:gridSpan w:val="2"/>
            <w:vAlign w:val="center"/>
          </w:tcPr>
          <w:p>
            <w:pPr>
              <w:spacing w:line="360" w:lineRule="auto"/>
              <w:jc w:val="left"/>
              <w:rPr>
                <w:rFonts w:ascii="黑体" w:hAnsi="黑体" w:eastAsia="黑体" w:cs="黑体"/>
                <w:szCs w:val="21"/>
              </w:rPr>
            </w:pPr>
            <w:r>
              <w:rPr>
                <w:rFonts w:hint="eastAsia" w:ascii="黑体" w:hAnsi="黑体" w:eastAsia="黑体" w:cs="黑体"/>
                <w:szCs w:val="21"/>
              </w:rPr>
              <w:t>山西省祁县六曲香</w:t>
            </w:r>
          </w:p>
        </w:tc>
      </w:tr>
    </w:tbl>
    <w:p>
      <w:pPr>
        <w:rPr>
          <w:b/>
          <w:color w:val="000000" w:themeColor="text1"/>
          <w:sz w:val="24"/>
          <w:szCs w:val="24"/>
          <w14:textFill>
            <w14:solidFill>
              <w14:schemeClr w14:val="tx1"/>
            </w14:solidFill>
          </w14:textFill>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8B276E"/>
    <w:rsid w:val="2E72182A"/>
    <w:rsid w:val="49555147"/>
    <w:rsid w:val="638B27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szCs w:val="24"/>
    </w:rPr>
  </w:style>
  <w:style w:type="table" w:styleId="4">
    <w:name w:val="Table Grid"/>
    <w:basedOn w:val="3"/>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2021-02-09T02:50:00Z</dcterms:created>
  <dc:creator>随意~</dc:creator>
  <cp:lastModifiedBy>随意~</cp:lastModifiedBy>
  <dcterms:modified xsi:type="dcterms:W3CDTF">2021-02-09T03:26:34Z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