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240" w:lineRule="auto"/>
        <w:jc w:val="center"/>
        <w:rPr>
          <w:rFonts w:ascii="宋体" w:hAnsi="宋体"/>
          <w:b/>
          <w:bCs/>
          <w:sz w:val="48"/>
          <w:szCs w:val="52"/>
        </w:rPr>
      </w:pPr>
    </w:p>
    <w:p>
      <w:pPr>
        <w:autoSpaceDE w:val="0"/>
        <w:autoSpaceDN w:val="0"/>
        <w:spacing w:line="240" w:lineRule="auto"/>
        <w:jc w:val="center"/>
        <w:rPr>
          <w:rFonts w:ascii="宋体" w:hAnsi="宋体"/>
          <w:b/>
          <w:bCs/>
          <w:sz w:val="48"/>
          <w:szCs w:val="52"/>
        </w:rPr>
      </w:pPr>
    </w:p>
    <w:p>
      <w:pPr>
        <w:autoSpaceDE w:val="0"/>
        <w:autoSpaceDN w:val="0"/>
        <w:spacing w:line="240" w:lineRule="auto"/>
        <w:jc w:val="center"/>
        <w:rPr>
          <w:rFonts w:ascii="宋体" w:hAnsi="宋体"/>
          <w:b/>
          <w:bCs/>
          <w:sz w:val="48"/>
          <w:szCs w:val="52"/>
        </w:rPr>
      </w:pPr>
      <w:r>
        <w:rPr>
          <w:rFonts w:hint="eastAsia" w:ascii="宋体" w:hAnsi="宋体"/>
          <w:b/>
          <w:bCs/>
          <w:sz w:val="48"/>
          <w:szCs w:val="52"/>
        </w:rPr>
        <w:t>北京红星股份有限公司红星白酒产业园</w:t>
      </w:r>
      <w:r>
        <w:rPr>
          <w:rFonts w:hint="eastAsia" w:ascii="宋体" w:hAnsi="宋体"/>
          <w:b/>
          <w:bCs/>
          <w:sz w:val="48"/>
          <w:szCs w:val="52"/>
          <w:lang w:val="en-US" w:eastAsia="zh-CN"/>
        </w:rPr>
        <w:t>风幕机</w:t>
      </w:r>
      <w:r>
        <w:rPr>
          <w:rFonts w:hint="eastAsia" w:ascii="宋体" w:hAnsi="宋体"/>
          <w:b/>
          <w:bCs/>
          <w:sz w:val="48"/>
          <w:szCs w:val="52"/>
        </w:rPr>
        <w:t>项目</w:t>
      </w:r>
    </w:p>
    <w:p>
      <w:pPr>
        <w:spacing w:line="480" w:lineRule="auto"/>
        <w:jc w:val="center"/>
        <w:rPr>
          <w:rFonts w:ascii="宋体" w:hAnsi="宋体"/>
          <w:bCs/>
          <w:sz w:val="84"/>
        </w:rPr>
      </w:pPr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技</w:t>
      </w:r>
      <w:r>
        <w:rPr>
          <w:rFonts w:hint="eastAsia" w:ascii="宋体" w:hAnsi="宋体"/>
          <w:bCs/>
          <w:sz w:val="84"/>
        </w:rPr>
        <w:br w:type="textWrapping"/>
      </w:r>
      <w:r>
        <w:rPr>
          <w:rFonts w:hint="eastAsia" w:ascii="宋体" w:hAnsi="宋体"/>
          <w:bCs/>
          <w:sz w:val="84"/>
        </w:rPr>
        <w:t>术</w:t>
      </w:r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要</w:t>
      </w:r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求</w:t>
      </w:r>
    </w:p>
    <w:p>
      <w:pPr>
        <w:rPr>
          <w:rFonts w:ascii="宋体" w:hAnsi="宋体"/>
          <w:bCs/>
          <w:sz w:val="72"/>
        </w:rPr>
      </w:pPr>
    </w:p>
    <w:p>
      <w:pPr>
        <w:widowControl/>
        <w:jc w:val="left"/>
        <w:rPr>
          <w:rFonts w:ascii="宋体" w:hAnsi="宋体"/>
          <w:b/>
          <w:bCs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/>
          <w:b/>
          <w:bCs/>
          <w:kern w:val="0"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ascii="宋体" w:hAnsi="宋体" w:cs="宋体"/>
          <w:b/>
          <w:bCs/>
          <w:sz w:val="48"/>
          <w:szCs w:val="48"/>
        </w:rPr>
        <w:t>202</w:t>
      </w:r>
      <w:r>
        <w:rPr>
          <w:rFonts w:hint="eastAsia" w:ascii="宋体" w:hAnsi="宋体" w:cs="宋体"/>
          <w:b/>
          <w:bCs/>
          <w:sz w:val="48"/>
          <w:szCs w:val="48"/>
        </w:rPr>
        <w:t>2</w:t>
      </w:r>
      <w:r>
        <w:rPr>
          <w:rFonts w:ascii="宋体" w:hAnsi="宋体" w:cs="宋体"/>
          <w:b/>
          <w:bCs/>
          <w:sz w:val="48"/>
          <w:szCs w:val="48"/>
        </w:rPr>
        <w:t>年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4</w:t>
      </w:r>
      <w:r>
        <w:rPr>
          <w:rFonts w:ascii="宋体" w:hAnsi="宋体" w:cs="宋体"/>
          <w:b/>
          <w:bCs/>
          <w:sz w:val="48"/>
          <w:szCs w:val="48"/>
        </w:rPr>
        <w:t>月</w:t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spacing w:line="240" w:lineRule="auto"/>
        <w:jc w:val="center"/>
        <w:rPr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br w:type="page"/>
      </w:r>
      <w:r>
        <w:rPr>
          <w:rFonts w:ascii="宋体" w:hAnsi="宋体"/>
          <w:sz w:val="28"/>
          <w:szCs w:val="28"/>
        </w:rPr>
        <w:t>目录</w:t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/>
          <w:bCs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bCs/>
          <w:sz w:val="28"/>
          <w:szCs w:val="28"/>
        </w:rPr>
        <w:instrText xml:space="preserve">TOC \o "1-3" \h \u </w:instrText>
      </w:r>
      <w:r>
        <w:rPr>
          <w:rFonts w:hint="eastAsia" w:ascii="宋体" w:hAnsi="宋体" w:cs="宋体"/>
          <w:b/>
          <w:bCs/>
          <w:sz w:val="28"/>
          <w:szCs w:val="28"/>
        </w:rPr>
        <w:fldChar w:fldCharType="separate"/>
      </w: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_Toc4534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一、项目概况</w:t>
      </w:r>
      <w:r>
        <w:tab/>
      </w:r>
      <w:r>
        <w:fldChar w:fldCharType="begin"/>
      </w:r>
      <w:r>
        <w:instrText xml:space="preserve"> PAGEREF _Toc4534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_Toc21761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二、总体要求</w:t>
      </w:r>
      <w:r>
        <w:tab/>
      </w:r>
      <w:r>
        <w:fldChar w:fldCharType="begin"/>
      </w:r>
      <w:r>
        <w:instrText xml:space="preserve"> PAGEREF _Toc21761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_Toc11109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三</w:t>
      </w:r>
      <w:r>
        <w:rPr>
          <w:lang w:bidi="en-US"/>
        </w:rPr>
        <w:t>、</w:t>
      </w:r>
      <w:r>
        <w:rPr>
          <w:rFonts w:hint="eastAsia"/>
          <w:lang w:bidi="en-US"/>
        </w:rPr>
        <w:t>采购内容</w:t>
      </w:r>
      <w:r>
        <w:tab/>
      </w:r>
      <w:r>
        <w:fldChar w:fldCharType="begin"/>
      </w:r>
      <w:r>
        <w:instrText xml:space="preserve"> PAGEREF _Toc11109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_Toc19039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四、执行标准</w:t>
      </w:r>
      <w:r>
        <w:tab/>
      </w:r>
      <w:r>
        <w:fldChar w:fldCharType="begin"/>
      </w:r>
      <w:r>
        <w:instrText xml:space="preserve"> PAGEREF _Toc19039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_Toc15924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五、产品整体要求</w:t>
      </w:r>
      <w:r>
        <w:tab/>
      </w:r>
      <w:r>
        <w:fldChar w:fldCharType="begin"/>
      </w:r>
      <w:r>
        <w:instrText xml:space="preserve"> PAGEREF _Toc15924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_Toc2777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六、</w:t>
      </w:r>
      <w:r>
        <w:rPr>
          <w:rFonts w:hint="eastAsia"/>
          <w:lang w:eastAsia="zh-CN" w:bidi="en-US"/>
        </w:rPr>
        <w:t>现场指定门尺寸及风幕要求</w:t>
      </w:r>
      <w:r>
        <w:tab/>
      </w:r>
      <w:r>
        <w:rPr>
          <w:rFonts w:hint="eastAsia"/>
          <w:lang w:val="en-US" w:eastAsia="zh-CN"/>
        </w:rPr>
        <w:t>5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_Toc25594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七、系统安装调试</w:t>
      </w:r>
      <w:r>
        <w:tab/>
      </w:r>
      <w:r>
        <w:rPr>
          <w:rFonts w:hint="eastAsia"/>
          <w:lang w:val="en-US" w:eastAsia="zh-CN"/>
        </w:rPr>
        <w:t>6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_Toc2127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/>
          <w:lang w:bidi="en-US"/>
        </w:rPr>
        <w:t>八、 售后服务</w:t>
      </w:r>
      <w:r>
        <w:tab/>
      </w:r>
      <w:r>
        <w:fldChar w:fldCharType="begin"/>
      </w:r>
      <w:r>
        <w:instrText xml:space="preserve"> PAGEREF _Toc2127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_Toc53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 w:ascii="宋体" w:hAnsi="宋体" w:cs="宋体"/>
        </w:rPr>
        <w:t>8.1、售后服务</w:t>
      </w:r>
      <w:r>
        <w:tab/>
      </w:r>
      <w:r>
        <w:rPr>
          <w:rFonts w:hint="eastAsia"/>
          <w:lang w:val="en-US" w:eastAsia="zh-CN"/>
        </w:rPr>
        <w:t>6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1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_Toc14527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lang w:bidi="en-US"/>
        </w:rPr>
        <w:t>九</w:t>
      </w:r>
      <w:r>
        <w:rPr>
          <w:rFonts w:hint="eastAsia"/>
          <w:lang w:bidi="en-US"/>
        </w:rPr>
        <w:t>、项目验收要求</w:t>
      </w:r>
      <w:r>
        <w:tab/>
      </w:r>
      <w:r>
        <w:rPr>
          <w:rFonts w:hint="eastAsia"/>
          <w:lang w:val="en-US" w:eastAsia="zh-CN"/>
        </w:rPr>
        <w:t>7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_Toc417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 w:ascii="宋体" w:hAnsi="宋体" w:cs="宋体"/>
        </w:rPr>
        <w:t>9.1、基本要求</w:t>
      </w:r>
      <w:r>
        <w:tab/>
      </w:r>
      <w:r>
        <w:rPr>
          <w:rFonts w:hint="eastAsia"/>
          <w:lang w:val="en-US" w:eastAsia="zh-CN"/>
        </w:rPr>
        <w:t>7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_Toc5613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 w:ascii="宋体" w:hAnsi="宋体" w:cs="宋体"/>
        </w:rPr>
        <w:t>9.2、竣工验收的资料要求</w:t>
      </w:r>
      <w:r>
        <w:tab/>
      </w:r>
      <w:r>
        <w:rPr>
          <w:rFonts w:hint="eastAsia"/>
          <w:lang w:val="en-US" w:eastAsia="zh-CN"/>
        </w:rPr>
        <w:t>7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 w:ascii="宋体" w:hAnsi="宋体" w:cs="宋体"/>
          <w:bCs/>
          <w:szCs w:val="28"/>
        </w:rPr>
        <w:fldChar w:fldCharType="begin"/>
      </w:r>
      <w:r>
        <w:rPr>
          <w:rFonts w:hint="eastAsia" w:ascii="宋体" w:hAnsi="宋体" w:cs="宋体"/>
          <w:bCs/>
          <w:szCs w:val="28"/>
        </w:rPr>
        <w:instrText xml:space="preserve"> HYPERLINK \l _Toc30943 </w:instrText>
      </w:r>
      <w:r>
        <w:rPr>
          <w:rFonts w:hint="eastAsia" w:ascii="宋体" w:hAnsi="宋体" w:cs="宋体"/>
          <w:bCs/>
          <w:szCs w:val="28"/>
        </w:rPr>
        <w:fldChar w:fldCharType="separate"/>
      </w:r>
      <w:r>
        <w:rPr>
          <w:rFonts w:hint="eastAsia" w:ascii="宋体" w:hAnsi="宋体" w:cs="宋体"/>
        </w:rPr>
        <w:t>9.3、其他要求</w:t>
      </w:r>
      <w:r>
        <w:tab/>
      </w:r>
      <w:r>
        <w:rPr>
          <w:rFonts w:hint="eastAsia"/>
          <w:lang w:val="en-US" w:eastAsia="zh-CN"/>
        </w:rPr>
        <w:t>7</w:t>
      </w:r>
      <w:r>
        <w:rPr>
          <w:rFonts w:hint="eastAsia" w:ascii="宋体" w:hAnsi="宋体" w:cs="宋体"/>
          <w:bCs/>
          <w:szCs w:val="28"/>
        </w:rPr>
        <w:fldChar w:fldCharType="end"/>
      </w:r>
    </w:p>
    <w:p>
      <w:pPr>
        <w:pStyle w:val="17"/>
        <w:rPr>
          <w:rFonts w:ascii="宋体" w:hAnsi="宋体" w:cs="宋体"/>
          <w:bCs/>
          <w:szCs w:val="28"/>
        </w:rPr>
      </w:pPr>
      <w:r>
        <w:rPr>
          <w:rFonts w:hint="eastAsia" w:ascii="宋体" w:hAnsi="宋体" w:cs="宋体"/>
          <w:bCs/>
          <w:szCs w:val="28"/>
        </w:rPr>
        <w:fldChar w:fldCharType="end"/>
      </w:r>
      <w:bookmarkStart w:id="0" w:name="_Toc22423"/>
      <w:bookmarkStart w:id="1" w:name="_Toc20656"/>
      <w:bookmarkStart w:id="2" w:name="_Toc9949"/>
      <w:bookmarkStart w:id="3" w:name="_Toc3928"/>
    </w:p>
    <w:p/>
    <w:p>
      <w:pPr>
        <w:pStyle w:val="17"/>
        <w:outlineLvl w:val="0"/>
        <w:rPr>
          <w:lang w:bidi="en-US"/>
        </w:rPr>
      </w:pPr>
      <w:r>
        <w:rPr>
          <w:rFonts w:hint="eastAsia" w:ascii="宋体" w:hAnsi="宋体" w:cs="宋体"/>
          <w:b w:val="0"/>
          <w:bCs/>
          <w:szCs w:val="28"/>
        </w:rPr>
        <w:br w:type="page"/>
      </w:r>
      <w:bookmarkStart w:id="4" w:name="_Toc31076"/>
      <w:bookmarkStart w:id="5" w:name="_Toc21428"/>
      <w:bookmarkStart w:id="6" w:name="_Toc21364"/>
      <w:bookmarkStart w:id="7" w:name="_Toc15317"/>
      <w:bookmarkStart w:id="8" w:name="_Toc8644"/>
      <w:bookmarkStart w:id="9" w:name="_Toc30520"/>
      <w:bookmarkStart w:id="10" w:name="_Toc13272"/>
      <w:bookmarkStart w:id="11" w:name="_Toc22837"/>
      <w:bookmarkStart w:id="12" w:name="_Toc9231"/>
      <w:bookmarkStart w:id="13" w:name="_Toc189"/>
      <w:bookmarkStart w:id="14" w:name="_Toc2639"/>
      <w:bookmarkStart w:id="15" w:name="_Toc4534"/>
      <w:bookmarkStart w:id="16" w:name="_Toc7235"/>
      <w:r>
        <w:rPr>
          <w:rFonts w:hint="eastAsia"/>
          <w:lang w:bidi="en-US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>
      <w:pPr>
        <w:autoSpaceDE w:val="0"/>
        <w:autoSpaceDN w:val="0"/>
        <w:jc w:val="left"/>
        <w:rPr>
          <w:rFonts w:hint="default" w:ascii="宋体" w:hAnsi="宋体" w:eastAsia="宋体" w:cs="Tahoma"/>
          <w:bCs/>
          <w:sz w:val="24"/>
          <w:lang w:val="en-US" w:eastAsia="zh-CN"/>
        </w:rPr>
      </w:pPr>
      <w:bookmarkStart w:id="17" w:name="_Toc15573"/>
      <w:bookmarkStart w:id="18" w:name="_Toc5811"/>
      <w:r>
        <w:rPr>
          <w:rFonts w:hint="eastAsia" w:ascii="宋体" w:hAnsi="宋体" w:cs="Tahoma"/>
          <w:bCs/>
          <w:sz w:val="24"/>
        </w:rPr>
        <w:t>1、项目名称：</w:t>
      </w:r>
      <w:bookmarkEnd w:id="17"/>
      <w:bookmarkEnd w:id="18"/>
      <w:r>
        <w:rPr>
          <w:rFonts w:ascii="宋体" w:hAnsi="宋体" w:eastAsia="宋体" w:cs="宋体"/>
          <w:sz w:val="24"/>
          <w:szCs w:val="24"/>
        </w:rPr>
        <w:t>红星白酒产业园迁建项目1期-风幕机项目</w:t>
      </w:r>
    </w:p>
    <w:p>
      <w:pPr>
        <w:pStyle w:val="18"/>
        <w:ind w:firstLine="0" w:firstLineChars="0"/>
        <w:rPr>
          <w:rFonts w:ascii="宋体" w:hAnsi="宋体" w:cs="Tahoma"/>
          <w:b w:val="0"/>
        </w:rPr>
      </w:pPr>
      <w:bookmarkStart w:id="19" w:name="_Toc29482"/>
      <w:bookmarkStart w:id="20" w:name="_Toc10051"/>
      <w:r>
        <w:rPr>
          <w:rFonts w:hint="eastAsia" w:ascii="宋体" w:hAnsi="宋体" w:cs="Tahoma"/>
          <w:b w:val="0"/>
        </w:rPr>
        <w:t>2、项目地点：山西祁县</w:t>
      </w:r>
      <w:bookmarkEnd w:id="19"/>
      <w:bookmarkEnd w:id="20"/>
      <w:r>
        <w:rPr>
          <w:rFonts w:hint="eastAsia" w:ascii="宋体" w:hAnsi="宋体" w:cs="Tahoma"/>
          <w:b w:val="0"/>
        </w:rPr>
        <w:t>红星路99号</w:t>
      </w:r>
    </w:p>
    <w:p>
      <w:pPr>
        <w:pStyle w:val="17"/>
        <w:outlineLvl w:val="0"/>
        <w:rPr>
          <w:lang w:bidi="en-US"/>
        </w:rPr>
      </w:pPr>
      <w:bookmarkStart w:id="21" w:name="_Toc25216"/>
      <w:bookmarkStart w:id="22" w:name="_Toc7735"/>
      <w:bookmarkStart w:id="23" w:name="_Toc4231"/>
      <w:bookmarkStart w:id="24" w:name="_Toc29521"/>
      <w:bookmarkStart w:id="25" w:name="_Toc21761"/>
      <w:bookmarkStart w:id="26" w:name="_Toc21301"/>
      <w:bookmarkStart w:id="27" w:name="_Toc31155"/>
      <w:bookmarkStart w:id="28" w:name="_Toc16642"/>
      <w:bookmarkStart w:id="29" w:name="_Toc4053"/>
      <w:bookmarkStart w:id="30" w:name="_Toc16387"/>
      <w:bookmarkStart w:id="31" w:name="_Toc440"/>
      <w:bookmarkStart w:id="32" w:name="_Toc27669"/>
      <w:bookmarkStart w:id="33" w:name="_Toc120"/>
      <w:bookmarkStart w:id="34" w:name="_Toc12245"/>
      <w:bookmarkStart w:id="35" w:name="_Toc32633"/>
      <w:bookmarkStart w:id="36" w:name="_Toc8433"/>
      <w:bookmarkStart w:id="37" w:name="_Toc13785"/>
      <w:r>
        <w:rPr>
          <w:rFonts w:hint="eastAsia"/>
          <w:lang w:bidi="en-US"/>
        </w:rPr>
        <w:t>二、总体要求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</w:p>
    <w:p>
      <w:pPr>
        <w:pStyle w:val="18"/>
        <w:ind w:firstLine="0" w:firstLineChars="0"/>
        <w:rPr>
          <w:rFonts w:ascii="宋体" w:hAnsi="宋体"/>
          <w:b w:val="0"/>
        </w:rPr>
      </w:pPr>
      <w:r>
        <w:rPr>
          <w:rFonts w:hint="eastAsia" w:ascii="宋体" w:hAnsi="宋体"/>
          <w:b w:val="0"/>
        </w:rPr>
        <w:t>2.1、本项目</w:t>
      </w:r>
      <w:r>
        <w:rPr>
          <w:rFonts w:hint="eastAsia" w:ascii="宋体" w:hAnsi="宋体"/>
          <w:b w:val="0"/>
          <w:lang w:val="en-US" w:eastAsia="zh-CN"/>
        </w:rPr>
        <w:t>风幕机项目</w:t>
      </w:r>
      <w:r>
        <w:rPr>
          <w:rFonts w:hint="eastAsia" w:ascii="宋体" w:hAnsi="宋体"/>
          <w:b w:val="0"/>
        </w:rPr>
        <w:t>包含整体设计、工艺设备的制造、运输、安装、调试、验收、售后服务等，</w:t>
      </w:r>
      <w:r>
        <w:rPr>
          <w:rFonts w:hint="eastAsia" w:ascii="宋体" w:hAnsi="宋体"/>
          <w:b w:val="0"/>
          <w:lang w:val="en-US" w:eastAsia="zh-CN"/>
        </w:rPr>
        <w:t>为</w:t>
      </w:r>
      <w:r>
        <w:rPr>
          <w:rFonts w:hint="eastAsia" w:ascii="宋体" w:hAnsi="宋体"/>
          <w:b w:val="0"/>
        </w:rPr>
        <w:t>交钥匙工程。</w:t>
      </w:r>
    </w:p>
    <w:p>
      <w:pPr>
        <w:pStyle w:val="18"/>
        <w:ind w:firstLine="0" w:firstLineChars="0"/>
        <w:rPr>
          <w:rFonts w:hint="eastAsia" w:ascii="宋体" w:hAnsi="宋体"/>
          <w:b w:val="0"/>
          <w:lang w:val="en-US" w:eastAsia="zh-CN"/>
        </w:rPr>
      </w:pPr>
      <w:r>
        <w:rPr>
          <w:rFonts w:hint="eastAsia" w:ascii="宋体" w:hAnsi="宋体"/>
          <w:b w:val="0"/>
        </w:rPr>
        <w:t>2.2、设备范围</w:t>
      </w:r>
      <w:r>
        <w:rPr>
          <w:rFonts w:hint="eastAsia" w:ascii="宋体" w:hAnsi="宋体"/>
          <w:b w:val="0"/>
          <w:lang w:eastAsia="zh-CN"/>
        </w:rPr>
        <w:t>：</w:t>
      </w:r>
      <w:r>
        <w:rPr>
          <w:rFonts w:hint="eastAsia" w:ascii="宋体" w:hAnsi="宋体"/>
          <w:b w:val="0"/>
          <w:lang w:val="en-US" w:eastAsia="zh-CN"/>
        </w:rPr>
        <w:t>指定位置处风幕机整套系统</w:t>
      </w:r>
    </w:p>
    <w:p>
      <w:pPr>
        <w:pStyle w:val="18"/>
        <w:ind w:firstLine="0" w:firstLineChars="0"/>
        <w:rPr>
          <w:rFonts w:ascii="宋体" w:hAnsi="宋体"/>
          <w:b w:val="0"/>
        </w:rPr>
      </w:pPr>
      <w:r>
        <w:rPr>
          <w:rFonts w:hint="eastAsia" w:ascii="宋体" w:hAnsi="宋体"/>
          <w:b w:val="0"/>
        </w:rPr>
        <w:t>2.3、总体设计原则、要求</w:t>
      </w:r>
    </w:p>
    <w:p>
      <w:pPr>
        <w:spacing w:line="360" w:lineRule="auto"/>
        <w:ind w:left="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2.3.1整体设计在满足</w:t>
      </w:r>
      <w:r>
        <w:rPr>
          <w:rFonts w:hint="eastAsia" w:ascii="宋体" w:hAnsi="宋体"/>
          <w:sz w:val="24"/>
          <w:lang w:eastAsia="zh-CN"/>
        </w:rPr>
        <w:t>需求</w:t>
      </w:r>
      <w:r>
        <w:rPr>
          <w:rFonts w:hint="eastAsia" w:ascii="宋体" w:hAnsi="宋体"/>
          <w:sz w:val="24"/>
        </w:rPr>
        <w:t>的同时，布局经济合理，人流、物流通畅。中标单位需配合设计院及施工方完成各项提资、交底工作，并在安装调试结束后完成项目整体验收。</w:t>
      </w:r>
    </w:p>
    <w:p>
      <w:pPr>
        <w:pStyle w:val="4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2.3.2中标方需根据本技术协议书和甲方的要求提供系统操作说明书、设备清单、电源要求、安装要求、接地要求、主机柜内部布置图和外形图。</w:t>
      </w:r>
    </w:p>
    <w:p>
      <w:pPr>
        <w:pStyle w:val="4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2.3.3中标方注册资金应不少于100万。</w:t>
      </w:r>
    </w:p>
    <w:p>
      <w:pPr>
        <w:pStyle w:val="4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2.3.4中标方近三年应具有三次以上合同额大于10万的风幕机项目经历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2.4、中标方负责内容：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2.4.1负责提供整套符合本协议书要求的硬件、软件和安装调试。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2.4.2负责接通系统所需的电源等。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2.4.3负责对甲方相关技术人员的现场、理论培训。</w:t>
      </w:r>
    </w:p>
    <w:p>
      <w:pPr>
        <w:pStyle w:val="17"/>
        <w:outlineLvl w:val="0"/>
        <w:rPr>
          <w:lang w:bidi="en-US"/>
        </w:rPr>
      </w:pPr>
      <w:bookmarkStart w:id="38" w:name="_Toc3315"/>
      <w:bookmarkStart w:id="39" w:name="_Toc25128"/>
      <w:bookmarkStart w:id="40" w:name="_Toc15791"/>
      <w:bookmarkStart w:id="41" w:name="_Toc18294"/>
      <w:bookmarkStart w:id="42" w:name="_Toc18644"/>
      <w:bookmarkStart w:id="43" w:name="_Toc27832"/>
      <w:bookmarkStart w:id="44" w:name="_Toc26034"/>
      <w:bookmarkStart w:id="45" w:name="_Toc6439"/>
      <w:bookmarkStart w:id="46" w:name="_Toc9330"/>
      <w:bookmarkStart w:id="47" w:name="_Toc29537"/>
      <w:bookmarkStart w:id="48" w:name="_Toc11109"/>
      <w:bookmarkStart w:id="49" w:name="_Toc24155"/>
      <w:bookmarkStart w:id="50" w:name="_Toc5801"/>
      <w:bookmarkStart w:id="51" w:name="_Toc26091"/>
      <w:bookmarkStart w:id="52" w:name="_Toc24118"/>
      <w:bookmarkStart w:id="53" w:name="_Toc10358"/>
      <w:bookmarkStart w:id="54" w:name="_Toc29091"/>
      <w:r>
        <w:rPr>
          <w:rFonts w:hint="eastAsia"/>
          <w:lang w:bidi="en-US"/>
        </w:rPr>
        <w:t>三</w:t>
      </w:r>
      <w:r>
        <w:rPr>
          <w:lang w:bidi="en-US"/>
        </w:rPr>
        <w:t>、</w:t>
      </w:r>
      <w:r>
        <w:rPr>
          <w:rFonts w:hint="eastAsia"/>
          <w:lang w:bidi="en-US"/>
        </w:rPr>
        <w:t>采购内容</w:t>
      </w:r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>
      <w:pPr>
        <w:pStyle w:val="17"/>
        <w:ind w:firstLine="480" w:firstLineChars="200"/>
        <w:jc w:val="left"/>
        <w:rPr>
          <w:rFonts w:hint="default" w:eastAsia="宋体"/>
          <w:b w:val="0"/>
          <w:bCs/>
          <w:sz w:val="24"/>
          <w:lang w:val="en-US" w:eastAsia="zh-CN"/>
        </w:rPr>
      </w:pPr>
      <w:r>
        <w:rPr>
          <w:rFonts w:hint="eastAsia" w:ascii="宋体" w:hAnsi="宋体" w:cs="Tahoma"/>
          <w:b w:val="0"/>
          <w:bCs/>
          <w:sz w:val="24"/>
        </w:rPr>
        <w:t>本项目采购</w:t>
      </w:r>
      <w:r>
        <w:rPr>
          <w:rFonts w:hint="eastAsia" w:ascii="宋体" w:hAnsi="宋体" w:cs="Tahoma"/>
          <w:b w:val="0"/>
          <w:bCs/>
          <w:sz w:val="24"/>
          <w:lang w:eastAsia="zh-CN"/>
        </w:rPr>
        <w:t>车间指定门所需风幕机的设计、供货、安装、验收、</w:t>
      </w:r>
      <w:r>
        <w:rPr>
          <w:rFonts w:hint="eastAsia" w:ascii="宋体" w:hAnsi="宋体" w:cs="Tahoma"/>
          <w:b w:val="0"/>
          <w:bCs/>
          <w:sz w:val="24"/>
          <w:lang w:val="en-US" w:eastAsia="zh-CN"/>
        </w:rPr>
        <w:t>质保</w:t>
      </w:r>
      <w:r>
        <w:rPr>
          <w:rFonts w:hint="eastAsia" w:ascii="宋体" w:hAnsi="宋体" w:cs="Tahoma"/>
          <w:b w:val="0"/>
          <w:bCs/>
          <w:sz w:val="24"/>
          <w:lang w:eastAsia="zh-CN"/>
        </w:rPr>
        <w:t>等服务。</w:t>
      </w:r>
    </w:p>
    <w:p>
      <w:pPr>
        <w:pStyle w:val="17"/>
        <w:outlineLvl w:val="0"/>
        <w:rPr>
          <w:lang w:bidi="en-US"/>
        </w:rPr>
      </w:pPr>
      <w:bookmarkStart w:id="55" w:name="_Toc26933"/>
      <w:bookmarkStart w:id="56" w:name="_Toc30137"/>
      <w:bookmarkStart w:id="57" w:name="_Toc776"/>
      <w:bookmarkStart w:id="58" w:name="_Toc13874"/>
      <w:bookmarkStart w:id="59" w:name="_Toc19039"/>
      <w:bookmarkStart w:id="60" w:name="_Toc26564"/>
      <w:bookmarkStart w:id="61" w:name="_Toc28707"/>
      <w:bookmarkStart w:id="62" w:name="_Toc31476"/>
      <w:bookmarkStart w:id="63" w:name="_Toc18012"/>
      <w:bookmarkStart w:id="64" w:name="_Toc18957"/>
      <w:bookmarkStart w:id="65" w:name="_Toc2389"/>
      <w:bookmarkStart w:id="66" w:name="_Toc27412"/>
      <w:bookmarkStart w:id="67" w:name="_Toc27554"/>
      <w:r>
        <w:rPr>
          <w:rFonts w:hint="eastAsia"/>
          <w:lang w:bidi="en-US"/>
        </w:rPr>
        <w:t>四、执行标准</w:t>
      </w:r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在设计、材料、制造、测试、检验、安装、试运、验收、包装和运输保护应符合规范、标准和法规的有关要求。</w:t>
      </w:r>
      <w:bookmarkStart w:id="68" w:name="_Toc17078"/>
      <w:bookmarkStart w:id="69" w:name="_Toc2081"/>
      <w:bookmarkStart w:id="70" w:name="_Toc10186"/>
      <w:bookmarkStart w:id="71" w:name="_Toc25068"/>
      <w:bookmarkStart w:id="72" w:name="_Toc24840"/>
      <w:bookmarkStart w:id="73" w:name="_Toc4086"/>
      <w:bookmarkStart w:id="74" w:name="_Toc1723"/>
      <w:bookmarkStart w:id="75" w:name="_Toc8307"/>
      <w:bookmarkStart w:id="76" w:name="_Toc22574"/>
      <w:bookmarkStart w:id="77" w:name="_Toc17266"/>
    </w:p>
    <w:p>
      <w:pPr>
        <w:spacing w:line="360" w:lineRule="auto"/>
        <w:ind w:firstLine="480" w:firstLineChars="200"/>
        <w:contextualSpacing/>
        <w:rPr>
          <w:rFonts w:ascii="宋体" w:hAnsi="宋体" w:cs="宋体"/>
          <w:sz w:val="24"/>
        </w:rPr>
      </w:pPr>
      <w:bookmarkStart w:id="78" w:name="_Toc32708"/>
      <w:r>
        <w:rPr>
          <w:rFonts w:hint="eastAsia" w:ascii="宋体" w:hAnsi="宋体" w:cs="宋体"/>
          <w:sz w:val="24"/>
        </w:rPr>
        <w:t>除主要设备外其他</w:t>
      </w:r>
      <w:r>
        <w:rPr>
          <w:rFonts w:ascii="宋体" w:hAnsi="宋体" w:cs="宋体"/>
          <w:sz w:val="24"/>
        </w:rPr>
        <w:t>电气电料、五金采购标准需按照附件《电气电料、五金采购标准</w:t>
      </w:r>
      <w:r>
        <w:rPr>
          <w:rFonts w:hint="eastAsia" w:ascii="宋体" w:hAnsi="宋体" w:cs="宋体"/>
          <w:sz w:val="24"/>
        </w:rPr>
        <w:t>（第二版）</w:t>
      </w:r>
      <w:r>
        <w:rPr>
          <w:rFonts w:ascii="宋体" w:hAnsi="宋体" w:cs="宋体"/>
          <w:sz w:val="24"/>
        </w:rPr>
        <w:t>》进行配置，如有冲突以附件《电气电料、五金采购标准</w:t>
      </w:r>
      <w:r>
        <w:rPr>
          <w:rFonts w:hint="eastAsia" w:ascii="宋体" w:hAnsi="宋体" w:cs="宋体"/>
          <w:sz w:val="24"/>
        </w:rPr>
        <w:t>（第二版）</w:t>
      </w:r>
      <w:r>
        <w:rPr>
          <w:rFonts w:ascii="宋体" w:hAnsi="宋体" w:cs="宋体"/>
          <w:sz w:val="24"/>
        </w:rPr>
        <w:t>》为准。</w:t>
      </w:r>
    </w:p>
    <w:p>
      <w:pPr>
        <w:spacing w:line="360" w:lineRule="auto"/>
        <w:contextualSpacing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附件一：</w:t>
      </w:r>
      <w:r>
        <w:rPr>
          <w:rFonts w:ascii="宋体" w:hAnsi="宋体" w:cs="宋体"/>
          <w:sz w:val="24"/>
        </w:rPr>
        <w:t>《电气电料、五金采购标准</w:t>
      </w:r>
      <w:r>
        <w:rPr>
          <w:rFonts w:hint="eastAsia" w:ascii="宋体" w:hAnsi="宋体" w:cs="宋体"/>
          <w:sz w:val="24"/>
        </w:rPr>
        <w:t>（第二版）</w:t>
      </w:r>
      <w:r>
        <w:rPr>
          <w:rFonts w:ascii="宋体" w:hAnsi="宋体" w:cs="宋体"/>
          <w:sz w:val="24"/>
        </w:rPr>
        <w:t>》</w:t>
      </w:r>
    </w:p>
    <w:p>
      <w:pPr>
        <w:pStyle w:val="17"/>
        <w:numPr>
          <w:ilvl w:val="0"/>
          <w:numId w:val="1"/>
        </w:numPr>
        <w:outlineLvl w:val="0"/>
        <w:rPr>
          <w:rFonts w:hint="eastAsia"/>
          <w:lang w:bidi="en-US"/>
        </w:rPr>
      </w:pPr>
      <w:bookmarkStart w:id="79" w:name="_Toc15924"/>
      <w:bookmarkStart w:id="80" w:name="_Toc29558"/>
      <w:r>
        <w:rPr>
          <w:rFonts w:hint="eastAsia"/>
          <w:lang w:bidi="en-US"/>
        </w:rPr>
        <w:t>产品整体要求</w:t>
      </w:r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提供风幕机金属配件及外壳为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304不锈钢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材质。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风幕机内电器元件为施耐德、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ABB或同等质量品牌。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风幕机配控制箱，要求与自动门联动，具有手动自动切换模式，控制箱材质要求为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304不锈钢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材质，电器元件为施耐德、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ABB或同等质量品牌。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风幕机安装所需的支架及底座要求为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304不锈钢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材质。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额定风量在国标GB/T14294-93规定条件下，风量实测值不低于额定值100%；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噪声：小于 70dB(A)；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风力角度：偏外倾斜30度角，可调。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具备过热保护功能，电气安全保护功能，电机过载、过热保护功能。</w:t>
      </w:r>
    </w:p>
    <w:p>
      <w:pPr>
        <w:numPr>
          <w:ilvl w:val="0"/>
          <w:numId w:val="2"/>
        </w:numPr>
        <w:spacing w:line="480" w:lineRule="exac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要求设备使用寿命6000小时以上。</w:t>
      </w:r>
    </w:p>
    <w:p>
      <w:pPr>
        <w:numPr>
          <w:ilvl w:val="0"/>
          <w:numId w:val="0"/>
        </w:numPr>
        <w:spacing w:line="480" w:lineRule="exact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10、</w:t>
      </w:r>
      <w:r>
        <w:rPr>
          <w:rFonts w:hint="eastAsia" w:asciiTheme="minorEastAsia" w:hAnsiTheme="minorEastAsia" w:eastAsiaTheme="minorEastAsia" w:cstheme="minorEastAsia"/>
          <w:sz w:val="24"/>
        </w:rPr>
        <w:t>整体结构要求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：</w:t>
      </w:r>
    </w:p>
    <w:p>
      <w:pPr>
        <w:snapToGrid w:val="0"/>
        <w:spacing w:line="480" w:lineRule="exact"/>
        <w:ind w:left="525" w:hanging="525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</w:rPr>
        <w:t>.1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机组构件除防爆风幕机以外，厂房外所选机型为：304不锈钢外壳。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</w:rPr>
        <w:t>.2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机组外表面无划伤、锈斑和压痕，表面光洁，喷涂层均匀，色调一致，无汽泡和剥落，机组清洁美观，箱体内无杂物。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</w:rPr>
        <w:t>.3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机组横断面上气流不会产生短路。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</w:rPr>
        <w:t>.4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机组颜色为304不锈钢色。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</w:rPr>
        <w:t>.5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风幕机组设备必须是崭新的，未使用过的产品。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11、主要部件的</w:t>
      </w:r>
      <w:r>
        <w:rPr>
          <w:rFonts w:hint="eastAsia" w:asciiTheme="minorEastAsia" w:hAnsiTheme="minorEastAsia" w:eastAsiaTheme="minorEastAsia" w:cstheme="minorEastAsia"/>
          <w:sz w:val="24"/>
        </w:rPr>
        <w:t>性能及技术要求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：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</w:rPr>
        <w:t>1.1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箱体内表面应平整、光滑，不应出现凹凸不平。</w:t>
      </w:r>
    </w:p>
    <w:p>
      <w:pPr>
        <w:snapToGrid w:val="0"/>
        <w:spacing w:line="480" w:lineRule="exact"/>
        <w:ind w:left="525" w:hanging="525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</w:rPr>
        <w:t>.2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机组应有足够的强度，在设计要求的最大静压下，能承受持久的扭曲但不产生永久变形；应满足检修、安装要求。</w:t>
      </w:r>
    </w:p>
    <w:p>
      <w:pPr>
        <w:snapToGrid w:val="0"/>
        <w:spacing w:line="480" w:lineRule="exact"/>
        <w:ind w:left="525" w:hanging="525"/>
        <w:rPr>
          <w:rFonts w:hint="eastAsia"/>
          <w:lang w:bidi="en-US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</w:rPr>
        <w:t>.3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机组电源为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380V 或</w:t>
      </w:r>
      <w:r>
        <w:rPr>
          <w:rFonts w:hint="eastAsia" w:asciiTheme="minorEastAsia" w:hAnsiTheme="minorEastAsia" w:eastAsiaTheme="minorEastAsia" w:cstheme="minorEastAsia"/>
          <w:sz w:val="24"/>
        </w:rPr>
        <w:t>220V 50HZ，电源线引出机外，并配备电源接线盒、另配开关，方便操作，接线盒及接线端子应满足电机最大使用功率要求及接地要求，接线盒内应具有足够的电气安全空间。接线盒的防护等级不低于电机接线盒防护等级。</w:t>
      </w:r>
      <w:bookmarkStart w:id="81" w:name="_Toc8"/>
      <w:bookmarkStart w:id="82" w:name="_Toc24984"/>
      <w:bookmarkStart w:id="83" w:name="_Toc29630"/>
      <w:bookmarkStart w:id="84" w:name="_Toc10368"/>
      <w:bookmarkStart w:id="85" w:name="_Toc21770"/>
      <w:bookmarkStart w:id="86" w:name="_Toc5154"/>
      <w:bookmarkStart w:id="87" w:name="_Toc12226"/>
      <w:bookmarkStart w:id="88" w:name="_Toc21159"/>
      <w:bookmarkStart w:id="89" w:name="_Toc21023"/>
      <w:bookmarkStart w:id="90" w:name="_Toc7617"/>
      <w:bookmarkStart w:id="91" w:name="_Toc19919"/>
      <w:bookmarkStart w:id="92" w:name="_Toc10840"/>
      <w:bookmarkStart w:id="93" w:name="_Toc2777"/>
    </w:p>
    <w:p>
      <w:pPr>
        <w:pStyle w:val="17"/>
        <w:outlineLvl w:val="0"/>
        <w:rPr>
          <w:rFonts w:hint="eastAsia" w:eastAsia="宋体"/>
          <w:lang w:eastAsia="zh-CN" w:bidi="en-US"/>
        </w:rPr>
      </w:pPr>
      <w:r>
        <w:rPr>
          <w:rFonts w:hint="eastAsia"/>
          <w:lang w:bidi="en-US"/>
        </w:rPr>
        <w:t>六、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r>
        <w:rPr>
          <w:rFonts w:hint="eastAsia"/>
          <w:lang w:eastAsia="zh-CN" w:bidi="en-US"/>
        </w:rPr>
        <w:t>现场指定门尺寸与风幕要求</w:t>
      </w:r>
    </w:p>
    <w:tbl>
      <w:tblPr>
        <w:tblStyle w:val="13"/>
        <w:tblW w:w="816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94" w:name="_Toc12561"/>
            <w:bookmarkStart w:id="95" w:name="_Toc19848"/>
            <w:bookmarkStart w:id="96" w:name="_Toc31671"/>
            <w:bookmarkStart w:id="97" w:name="_Toc1847"/>
            <w:bookmarkStart w:id="98" w:name="_Toc28194"/>
            <w:bookmarkStart w:id="99" w:name="_Toc27539"/>
            <w:bookmarkStart w:id="100" w:name="_Toc2811"/>
            <w:bookmarkStart w:id="101" w:name="_Toc28626"/>
            <w:bookmarkStart w:id="102" w:name="_Toc24180"/>
            <w:bookmarkStart w:id="103" w:name="_Toc25594"/>
            <w:bookmarkStart w:id="104" w:name="_Toc30339"/>
            <w:bookmarkStart w:id="105" w:name="_Toc11548"/>
            <w:bookmarkStart w:id="106" w:name="_Toc20400"/>
            <w:bookmarkStart w:id="107" w:name="_Toc22680"/>
            <w:bookmarkStart w:id="108" w:name="_Toc22143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指定门尺寸及风幕要求</w:t>
            </w:r>
          </w:p>
        </w:tc>
      </w:tr>
    </w:tbl>
    <w:p/>
    <w:tbl>
      <w:tblPr>
        <w:tblStyle w:val="13"/>
        <w:tblW w:w="883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908"/>
        <w:gridCol w:w="1206"/>
        <w:gridCol w:w="521"/>
        <w:gridCol w:w="683"/>
        <w:gridCol w:w="675"/>
        <w:gridCol w:w="550"/>
        <w:gridCol w:w="1162"/>
        <w:gridCol w:w="1363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车间名称</w:t>
            </w: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位置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安装形式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门宽mm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门高mm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门数量</w:t>
            </w:r>
          </w:p>
        </w:tc>
        <w:tc>
          <w:tcPr>
            <w:tcW w:w="1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建议数量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0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酿造一车间</w:t>
            </w: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15-16轴间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定制</w:t>
            </w:r>
          </w:p>
        </w:tc>
        <w:tc>
          <w:tcPr>
            <w:tcW w:w="13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风速＞20m/s,尺寸随门定制</w:t>
            </w:r>
          </w:p>
        </w:tc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18-19轴间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FM-3518S-L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酿造二车间</w:t>
            </w: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7-8轴间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FM-3518S-L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3-4轴间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FM-3518S-L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15-16轴间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定制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风速＞20m/s尺寸随门定制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18-19轴间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FM-3518S-L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制曲中心</w:t>
            </w: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12-13轴∩A轴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FM-3515S-L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18-19轴∩A轴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FM-3515S-L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22-23轴∩A轴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FM-3515S-L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23轴∩C-D轴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两侧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定制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风速＞25m/s尺寸随门定制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23轴∩G-H轴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定制</w:t>
            </w:r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风速＞20m/s尺寸随门定制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1轴∩E-F轴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顶吹+侧吹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4000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4500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定制</w:t>
            </w:r>
            <w:bookmarkStart w:id="185" w:name="_GoBack"/>
            <w:bookmarkEnd w:id="185"/>
          </w:p>
        </w:tc>
        <w:tc>
          <w:tcPr>
            <w:tcW w:w="136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风速＞25m/s尺寸随门定制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16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设计要求能有效隔断空气对流，阻挡蚊蝇进出。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17"/>
        <w:jc w:val="both"/>
        <w:outlineLvl w:val="0"/>
        <w:rPr>
          <w:rFonts w:hint="eastAsia"/>
          <w:lang w:bidi="en-US"/>
        </w:rPr>
      </w:pPr>
    </w:p>
    <w:p>
      <w:pPr>
        <w:pStyle w:val="17"/>
        <w:outlineLvl w:val="0"/>
        <w:rPr>
          <w:lang w:bidi="en-US"/>
        </w:rPr>
      </w:pPr>
      <w:r>
        <w:rPr>
          <w:rFonts w:hint="eastAsia"/>
          <w:lang w:bidi="en-US"/>
        </w:rPr>
        <w:t>七、系统安装调试</w:t>
      </w:r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</w:p>
    <w:p>
      <w:pPr>
        <w:spacing w:line="360" w:lineRule="auto"/>
        <w:ind w:firstLine="600" w:firstLineChars="250"/>
        <w:rPr>
          <w:rFonts w:ascii="宋体" w:hAnsi="宋体" w:cs="Tahoma"/>
          <w:bCs/>
          <w:sz w:val="24"/>
        </w:rPr>
      </w:pPr>
      <w:r>
        <w:rPr>
          <w:rFonts w:hint="eastAsia" w:ascii="宋体" w:hAnsi="宋体" w:cs="Tahoma"/>
          <w:bCs/>
          <w:sz w:val="24"/>
        </w:rPr>
        <w:t>中标方负责系统的现场安装，全面负责该系统的检查、受电、功能恢复、调试直至投入运行。中标方所派现场服务人员必须懂技术和熟悉设备性能的技术人员，能够在现场有效地工作，若因中标方技术人员的原因未完成工地工作应由中标方负责。如今后国家环保部门对环境质量的技术规范作调整，中标方及时免费为招标方提供升级服务。</w:t>
      </w:r>
    </w:p>
    <w:p>
      <w:pPr>
        <w:spacing w:line="360" w:lineRule="auto"/>
        <w:ind w:firstLine="600" w:firstLineChars="250"/>
        <w:rPr>
          <w:rFonts w:ascii="宋体" w:hAnsi="宋体" w:cs="Tahoma"/>
          <w:bCs/>
          <w:sz w:val="24"/>
        </w:rPr>
      </w:pPr>
      <w:r>
        <w:rPr>
          <w:rFonts w:hint="eastAsia" w:ascii="宋体" w:hAnsi="宋体" w:cs="Tahoma"/>
          <w:bCs/>
          <w:sz w:val="24"/>
        </w:rPr>
        <w:t>中标方派合格的现场服务人员，提供包括服务人数的现场服务计划表。如果此人数不能满足工程需要，中标方将追加人数，且不发生费用。</w:t>
      </w:r>
    </w:p>
    <w:p>
      <w:pPr>
        <w:spacing w:line="360" w:lineRule="auto"/>
        <w:ind w:firstLine="600" w:firstLineChars="250"/>
        <w:rPr>
          <w:rFonts w:ascii="宋体" w:hAnsi="宋体" w:cs="Tahoma"/>
          <w:bCs/>
          <w:sz w:val="24"/>
        </w:rPr>
      </w:pPr>
      <w:r>
        <w:rPr>
          <w:rFonts w:hint="eastAsia" w:ascii="宋体" w:hAnsi="宋体" w:cs="Tahoma"/>
          <w:bCs/>
          <w:sz w:val="24"/>
        </w:rPr>
        <w:t>中标方现场服务人员的任务主要包括设备催交、货物的开箱检验、设备质量问题的处理、指导安装和调试、参加试运和性能验收试验</w:t>
      </w:r>
    </w:p>
    <w:p>
      <w:pPr>
        <w:spacing w:line="360" w:lineRule="auto"/>
        <w:ind w:firstLine="600" w:firstLineChars="250"/>
        <w:rPr>
          <w:rFonts w:ascii="宋体" w:hAnsi="宋体" w:cs="Tahoma"/>
          <w:bCs/>
          <w:sz w:val="24"/>
        </w:rPr>
      </w:pPr>
      <w:r>
        <w:rPr>
          <w:rFonts w:hint="eastAsia" w:ascii="宋体" w:hAnsi="宋体" w:cs="Tahoma"/>
          <w:bCs/>
          <w:sz w:val="24"/>
        </w:rPr>
        <w:t>在安装和调试前，中标方技术服务人员向招标方技术交底，讲解和示范将要进行的程序和方法。</w:t>
      </w:r>
    </w:p>
    <w:p>
      <w:pPr>
        <w:spacing w:line="360" w:lineRule="auto"/>
        <w:ind w:firstLine="600" w:firstLineChars="250"/>
        <w:rPr>
          <w:rFonts w:ascii="宋体" w:hAnsi="宋体" w:cs="Tahoma"/>
          <w:bCs/>
          <w:sz w:val="24"/>
        </w:rPr>
      </w:pPr>
      <w:r>
        <w:rPr>
          <w:rFonts w:hint="eastAsia" w:ascii="宋体" w:hAnsi="宋体" w:cs="Tahoma"/>
          <w:bCs/>
          <w:sz w:val="24"/>
        </w:rPr>
        <w:t>招标方要配合中标方现场服务人员的工作。</w:t>
      </w:r>
    </w:p>
    <w:p>
      <w:pPr>
        <w:pStyle w:val="17"/>
        <w:numPr>
          <w:ilvl w:val="0"/>
          <w:numId w:val="3"/>
        </w:numPr>
        <w:outlineLvl w:val="0"/>
        <w:rPr>
          <w:lang w:bidi="en-US"/>
        </w:rPr>
      </w:pPr>
      <w:bookmarkStart w:id="109" w:name="_Toc22013"/>
      <w:bookmarkStart w:id="110" w:name="_Toc18281"/>
      <w:bookmarkStart w:id="111" w:name="_Toc2127"/>
      <w:bookmarkStart w:id="112" w:name="_Toc8050"/>
      <w:bookmarkStart w:id="113" w:name="_Toc1980"/>
      <w:bookmarkStart w:id="114" w:name="_Toc3411"/>
      <w:r>
        <w:rPr>
          <w:rFonts w:hint="eastAsia"/>
          <w:lang w:bidi="en-US"/>
        </w:rPr>
        <w:t>售后服务</w:t>
      </w:r>
      <w:bookmarkEnd w:id="109"/>
      <w:bookmarkEnd w:id="110"/>
      <w:bookmarkEnd w:id="111"/>
      <w:bookmarkEnd w:id="112"/>
      <w:bookmarkEnd w:id="113"/>
      <w:bookmarkEnd w:id="114"/>
    </w:p>
    <w:p>
      <w:pPr>
        <w:ind w:firstLine="480" w:firstLineChars="200"/>
        <w:rPr>
          <w:lang w:bidi="en-US"/>
        </w:rPr>
      </w:pPr>
      <w:r>
        <w:rPr>
          <w:rFonts w:hint="eastAsia" w:ascii="宋体" w:hAnsi="宋体"/>
          <w:sz w:val="24"/>
        </w:rPr>
        <w:t>为甲方提供全新的、符合国家要求的全新产品，如在项目整体验收过程中出现质量问题甲方有权将货物退回。</w:t>
      </w:r>
    </w:p>
    <w:p>
      <w:pPr>
        <w:pStyle w:val="23"/>
        <w:ind w:firstLine="482"/>
        <w:outlineLvl w:val="1"/>
        <w:rPr>
          <w:rFonts w:ascii="宋体" w:hAnsi="宋体" w:cs="宋体"/>
          <w:sz w:val="24"/>
        </w:rPr>
      </w:pPr>
      <w:bookmarkStart w:id="115" w:name="_Toc7305"/>
      <w:bookmarkStart w:id="116" w:name="_Toc3182"/>
      <w:bookmarkStart w:id="117" w:name="_Toc10263"/>
      <w:bookmarkStart w:id="118" w:name="_Toc3657"/>
      <w:bookmarkStart w:id="119" w:name="_Toc53"/>
      <w:r>
        <w:rPr>
          <w:rFonts w:hint="eastAsia" w:ascii="宋体" w:hAnsi="宋体" w:cs="宋体"/>
          <w:sz w:val="24"/>
        </w:rPr>
        <w:t>8.1、售后服务</w:t>
      </w:r>
      <w:bookmarkEnd w:id="115"/>
      <w:bookmarkEnd w:id="116"/>
      <w:bookmarkEnd w:id="117"/>
      <w:bookmarkEnd w:id="118"/>
      <w:bookmarkEnd w:id="119"/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8.1.1当接到招标方维修要求后，中标方</w:t>
      </w:r>
      <w:r>
        <w:rPr>
          <w:rFonts w:hint="eastAsia" w:ascii="宋体" w:hAnsi="宋体" w:cs="宋体"/>
          <w:b w:val="0"/>
          <w:lang w:val="en-US" w:eastAsia="zh-CN"/>
        </w:rPr>
        <w:t>48</w:t>
      </w:r>
      <w:r>
        <w:rPr>
          <w:rFonts w:hint="eastAsia" w:ascii="宋体" w:hAnsi="宋体" w:cs="宋体"/>
          <w:b w:val="0"/>
        </w:rPr>
        <w:t>小时响应技术指导，必要时中标方能保证第一日赶到现场。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8.1.2调试和质保期间损坏的零部件，由中标方免费提供。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8.1.3投标文件中应附售后服务、培训承诺。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8.1.4设备验收后，质保期为12个月，质保期内设备损坏修复后，修复部件质保期自修复之日起再延长12个月。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8.1.5中标方提供设备的备品备件、专用工具、易损及易耗件的清单及价格，同时保证以该价格向招标方优惠提供所有备品备件。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8.1.6中标方有义务协助招标方解决设备出现的各种技术问题。</w:t>
      </w:r>
    </w:p>
    <w:p>
      <w:pPr>
        <w:pStyle w:val="18"/>
        <w:ind w:firstLine="0" w:firstLineChars="0"/>
        <w:rPr>
          <w:rFonts w:hint="eastAsia"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8.1.7当中标方对所提供设备系统有技术改进或更新时，应及时将有关信息通知招标方，质保期内系统免费维护升级。</w:t>
      </w:r>
    </w:p>
    <w:p>
      <w:pPr>
        <w:pStyle w:val="17"/>
        <w:outlineLvl w:val="0"/>
        <w:rPr>
          <w:rFonts w:ascii="宋体" w:hAnsi="宋体" w:cs="宋体"/>
          <w:b w:val="0"/>
        </w:rPr>
      </w:pPr>
      <w:bookmarkStart w:id="120" w:name="_Toc29361"/>
      <w:bookmarkStart w:id="121" w:name="_Toc3740"/>
      <w:bookmarkStart w:id="122" w:name="_Toc14527"/>
      <w:bookmarkStart w:id="123" w:name="_Toc10588"/>
      <w:bookmarkStart w:id="124" w:name="_Toc25318"/>
      <w:bookmarkStart w:id="125" w:name="_Toc18179"/>
      <w:bookmarkStart w:id="126" w:name="_Toc27254"/>
      <w:bookmarkStart w:id="127" w:name="_Toc26432"/>
      <w:bookmarkStart w:id="128" w:name="_Toc4292"/>
      <w:bookmarkStart w:id="129" w:name="_Toc13637"/>
      <w:bookmarkStart w:id="130" w:name="_Toc1161"/>
      <w:bookmarkStart w:id="131" w:name="_Toc20452"/>
      <w:bookmarkStart w:id="132" w:name="_Toc28022"/>
      <w:bookmarkStart w:id="133" w:name="_Toc23259"/>
      <w:bookmarkStart w:id="134" w:name="_Toc26475"/>
      <w:bookmarkStart w:id="135" w:name="_Toc3254"/>
      <w:bookmarkStart w:id="136" w:name="_Toc2727"/>
      <w:r>
        <w:rPr>
          <w:lang w:bidi="en-US"/>
        </w:rPr>
        <w:t>九</w:t>
      </w:r>
      <w:r>
        <w:rPr>
          <w:rFonts w:hint="eastAsia"/>
          <w:lang w:bidi="en-US"/>
        </w:rPr>
        <w:t>、项目验收要求</w:t>
      </w:r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</w:p>
    <w:p>
      <w:pPr>
        <w:pStyle w:val="23"/>
        <w:ind w:firstLine="482"/>
        <w:outlineLvl w:val="1"/>
        <w:rPr>
          <w:rFonts w:ascii="宋体" w:hAnsi="宋体" w:cs="宋体"/>
          <w:sz w:val="24"/>
        </w:rPr>
      </w:pPr>
      <w:bookmarkStart w:id="137" w:name="_Toc18327"/>
      <w:bookmarkStart w:id="138" w:name="_Toc30672"/>
      <w:bookmarkStart w:id="139" w:name="_Toc2172"/>
      <w:bookmarkStart w:id="140" w:name="_Toc7537"/>
      <w:bookmarkStart w:id="141" w:name="_Toc14037"/>
      <w:bookmarkStart w:id="142" w:name="_Toc11301"/>
      <w:bookmarkStart w:id="143" w:name="_Toc26472"/>
      <w:bookmarkStart w:id="144" w:name="_Toc21348"/>
      <w:bookmarkStart w:id="145" w:name="_Toc19733"/>
      <w:bookmarkStart w:id="146" w:name="_Toc12934"/>
      <w:bookmarkStart w:id="147" w:name="_Toc30656"/>
      <w:bookmarkStart w:id="148" w:name="_Toc30799"/>
      <w:bookmarkStart w:id="149" w:name="_Toc19880"/>
      <w:bookmarkStart w:id="150" w:name="_Toc11591"/>
      <w:bookmarkStart w:id="151" w:name="_Toc14645"/>
      <w:bookmarkStart w:id="152" w:name="_Toc417"/>
      <w:r>
        <w:rPr>
          <w:rFonts w:hint="eastAsia" w:ascii="宋体" w:hAnsi="宋体" w:cs="宋体"/>
          <w:sz w:val="24"/>
        </w:rPr>
        <w:t>9.1、基本要求</w:t>
      </w:r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9.1.1设备外观整洁，外壳、护罩无明显变形、划痕等缺陷，开关、手柄完好无破损，电源线、控制线外皮无龟裂、老化现象，线路连接牢固、可靠，绝缘良好无裸露，机械统一编号字体整齐、美观。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9.1.2设备各部位完好齐全，机体部分无变形，各部位连接牢固。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9.1.3设备传动机构运转灵活，无卡阻，无异响，整机运行平稳，工作性能与机型相符，能满足</w:t>
      </w:r>
      <w:r>
        <w:rPr>
          <w:rFonts w:hint="eastAsia" w:ascii="宋体" w:hAnsi="宋体" w:cs="宋体"/>
          <w:b w:val="0"/>
          <w:lang w:eastAsia="zh-CN"/>
        </w:rPr>
        <w:t>生产</w:t>
      </w:r>
      <w:r>
        <w:rPr>
          <w:rFonts w:hint="eastAsia" w:ascii="宋体" w:hAnsi="宋体" w:cs="宋体"/>
          <w:b w:val="0"/>
        </w:rPr>
        <w:t>需要。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9.1.4各种防护罩齐全、有效，限位器灵敏可靠，整机安全性能良好。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9.1.5无对操作人员产生伤害的安全隐患。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9.1.6配置及材料等满足协议要求。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9.1.7能力、性能、运行质量以及操作特性满足本技术协议相关要求。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9.1.8.设备试运、正常运行正常，达到需方要求。</w:t>
      </w:r>
    </w:p>
    <w:p>
      <w:pPr>
        <w:pStyle w:val="23"/>
        <w:ind w:firstLine="482"/>
        <w:outlineLvl w:val="1"/>
        <w:rPr>
          <w:rFonts w:ascii="宋体" w:hAnsi="宋体" w:cs="宋体"/>
          <w:sz w:val="24"/>
        </w:rPr>
      </w:pPr>
      <w:bookmarkStart w:id="153" w:name="_Toc23111"/>
      <w:bookmarkStart w:id="154" w:name="_Toc16436"/>
      <w:bookmarkStart w:id="155" w:name="_Toc23894"/>
      <w:bookmarkStart w:id="156" w:name="_Toc5613"/>
      <w:bookmarkStart w:id="157" w:name="_Toc18591"/>
      <w:bookmarkStart w:id="158" w:name="_Toc23617"/>
      <w:bookmarkStart w:id="159" w:name="_Toc8910"/>
      <w:bookmarkStart w:id="160" w:name="_Toc23863"/>
      <w:bookmarkStart w:id="161" w:name="_Toc5674"/>
      <w:bookmarkStart w:id="162" w:name="_Toc29337"/>
      <w:bookmarkStart w:id="163" w:name="_Toc4973"/>
      <w:bookmarkStart w:id="164" w:name="_Toc24050"/>
      <w:bookmarkStart w:id="165" w:name="_Toc32187"/>
      <w:bookmarkStart w:id="166" w:name="_Toc20023"/>
      <w:bookmarkStart w:id="167" w:name="_Toc28245"/>
      <w:bookmarkStart w:id="168" w:name="_Toc8783"/>
      <w:r>
        <w:rPr>
          <w:rFonts w:hint="eastAsia" w:ascii="宋体" w:hAnsi="宋体" w:cs="宋体"/>
          <w:sz w:val="24"/>
        </w:rPr>
        <w:t>9.2、竣工验收的资料要求</w:t>
      </w:r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9.2.1设备装箱资料(含装箱清单、出厂合格证等)。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9.2.2</w:t>
      </w:r>
      <w:r>
        <w:rPr>
          <w:rFonts w:hint="eastAsia" w:ascii="宋体" w:hAnsi="宋体" w:cs="宋体"/>
          <w:b w:val="0"/>
          <w:lang w:eastAsia="zh-CN"/>
        </w:rPr>
        <w:t>风幕</w:t>
      </w:r>
      <w:r>
        <w:rPr>
          <w:rFonts w:hint="eastAsia" w:ascii="宋体" w:hAnsi="宋体" w:cs="宋体"/>
          <w:b w:val="0"/>
        </w:rPr>
        <w:t>机设备全套图纸及资料。安装、调试和试运行使用说明书及维修手册。全部设备设施操作规程。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9.2.3全套安装调试过程资料。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9.2.4 提供系统备配件表。</w:t>
      </w:r>
    </w:p>
    <w:p>
      <w:pPr>
        <w:pStyle w:val="23"/>
        <w:ind w:firstLine="482"/>
        <w:outlineLvl w:val="1"/>
        <w:rPr>
          <w:rFonts w:ascii="宋体" w:hAnsi="宋体" w:cs="宋体"/>
          <w:sz w:val="24"/>
        </w:rPr>
      </w:pPr>
      <w:bookmarkStart w:id="169" w:name="_Toc31716"/>
      <w:bookmarkStart w:id="170" w:name="_Toc23680"/>
      <w:bookmarkStart w:id="171" w:name="_Toc19812"/>
      <w:bookmarkStart w:id="172" w:name="_Toc16913"/>
      <w:bookmarkStart w:id="173" w:name="_Toc4485"/>
      <w:bookmarkStart w:id="174" w:name="_Toc26518"/>
      <w:bookmarkStart w:id="175" w:name="_Toc27426"/>
      <w:bookmarkStart w:id="176" w:name="_Toc24273"/>
      <w:bookmarkStart w:id="177" w:name="_Toc5834"/>
      <w:bookmarkStart w:id="178" w:name="_Toc10859"/>
      <w:bookmarkStart w:id="179" w:name="_Toc6080"/>
      <w:bookmarkStart w:id="180" w:name="_Toc27461"/>
      <w:bookmarkStart w:id="181" w:name="_Toc32487"/>
      <w:bookmarkStart w:id="182" w:name="_Toc30943"/>
      <w:bookmarkStart w:id="183" w:name="_Toc7545"/>
      <w:bookmarkStart w:id="184" w:name="_Toc21861"/>
      <w:r>
        <w:rPr>
          <w:rFonts w:hint="eastAsia" w:ascii="宋体" w:hAnsi="宋体" w:cs="宋体"/>
          <w:sz w:val="24"/>
        </w:rPr>
        <w:t>9.3、其他要求</w:t>
      </w:r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9.3.1本公司保留修改设计图纸的权利。</w:t>
      </w:r>
    </w:p>
    <w:p>
      <w:pPr>
        <w:pStyle w:val="18"/>
        <w:ind w:firstLine="0" w:firstLineChars="0"/>
        <w:rPr>
          <w:rFonts w:ascii="宋体" w:hAnsi="宋体" w:cs="宋体"/>
          <w:b w:val="0"/>
        </w:rPr>
      </w:pPr>
      <w:r>
        <w:rPr>
          <w:rFonts w:hint="eastAsia" w:ascii="宋体" w:hAnsi="宋体" w:cs="宋体"/>
          <w:b w:val="0"/>
        </w:rPr>
        <w:t>9.3.2设备的安装位置符合</w:t>
      </w:r>
      <w:r>
        <w:rPr>
          <w:rFonts w:hint="eastAsia" w:ascii="宋体" w:hAnsi="宋体" w:cs="宋体"/>
          <w:b w:val="0"/>
          <w:lang w:val="en-US" w:eastAsia="zh-CN"/>
        </w:rPr>
        <w:t>现场及招标方需求</w:t>
      </w:r>
      <w:r>
        <w:rPr>
          <w:rFonts w:hint="eastAsia" w:ascii="宋体" w:hAnsi="宋体" w:cs="宋体"/>
          <w:b w:val="0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DA887"/>
    <w:multiLevelType w:val="singleLevel"/>
    <w:tmpl w:val="82BDA887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BF9AF1F"/>
    <w:multiLevelType w:val="singleLevel"/>
    <w:tmpl w:val="FBF9AF1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247A14C"/>
    <w:multiLevelType w:val="singleLevel"/>
    <w:tmpl w:val="5247A14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AB17A8"/>
    <w:rsid w:val="002A646F"/>
    <w:rsid w:val="003F1773"/>
    <w:rsid w:val="004B2455"/>
    <w:rsid w:val="00507D62"/>
    <w:rsid w:val="00792058"/>
    <w:rsid w:val="00823774"/>
    <w:rsid w:val="0083042C"/>
    <w:rsid w:val="0090441D"/>
    <w:rsid w:val="00A074DF"/>
    <w:rsid w:val="00BB2799"/>
    <w:rsid w:val="00F85E9D"/>
    <w:rsid w:val="00FB79C5"/>
    <w:rsid w:val="0355712A"/>
    <w:rsid w:val="04275653"/>
    <w:rsid w:val="04AB4DC1"/>
    <w:rsid w:val="0504587E"/>
    <w:rsid w:val="06487CB3"/>
    <w:rsid w:val="06EA05AA"/>
    <w:rsid w:val="08083B9B"/>
    <w:rsid w:val="084E2065"/>
    <w:rsid w:val="08B84ACC"/>
    <w:rsid w:val="0B1763F2"/>
    <w:rsid w:val="0B561589"/>
    <w:rsid w:val="0C26526F"/>
    <w:rsid w:val="0D1E3C2D"/>
    <w:rsid w:val="0DD04666"/>
    <w:rsid w:val="0E930DEB"/>
    <w:rsid w:val="0EE8663F"/>
    <w:rsid w:val="0F0702C0"/>
    <w:rsid w:val="12BC78AF"/>
    <w:rsid w:val="140F1739"/>
    <w:rsid w:val="157E0E4B"/>
    <w:rsid w:val="15AC0B28"/>
    <w:rsid w:val="165721B7"/>
    <w:rsid w:val="1706633F"/>
    <w:rsid w:val="17C63C16"/>
    <w:rsid w:val="1AE965CF"/>
    <w:rsid w:val="1B1F4E7E"/>
    <w:rsid w:val="1D5343AD"/>
    <w:rsid w:val="1DAC30BA"/>
    <w:rsid w:val="1DCB4141"/>
    <w:rsid w:val="22454AAB"/>
    <w:rsid w:val="23E96BFA"/>
    <w:rsid w:val="23EA36F3"/>
    <w:rsid w:val="24C86938"/>
    <w:rsid w:val="256C2A6E"/>
    <w:rsid w:val="2683685C"/>
    <w:rsid w:val="2B2D0EF2"/>
    <w:rsid w:val="2CE40DF7"/>
    <w:rsid w:val="2DA74F8B"/>
    <w:rsid w:val="2EDE1A64"/>
    <w:rsid w:val="31A97CEC"/>
    <w:rsid w:val="34635069"/>
    <w:rsid w:val="35B71A2E"/>
    <w:rsid w:val="384D3104"/>
    <w:rsid w:val="39455658"/>
    <w:rsid w:val="3A43603C"/>
    <w:rsid w:val="3AD312FE"/>
    <w:rsid w:val="3AD50635"/>
    <w:rsid w:val="3B70079A"/>
    <w:rsid w:val="3C0723B6"/>
    <w:rsid w:val="3D0D1565"/>
    <w:rsid w:val="3DCF180E"/>
    <w:rsid w:val="40015036"/>
    <w:rsid w:val="42D84BAB"/>
    <w:rsid w:val="436D13B8"/>
    <w:rsid w:val="470450FD"/>
    <w:rsid w:val="47A83982"/>
    <w:rsid w:val="4A0A26D2"/>
    <w:rsid w:val="4BBA3C84"/>
    <w:rsid w:val="4C72411A"/>
    <w:rsid w:val="4F3E778A"/>
    <w:rsid w:val="4FDC241B"/>
    <w:rsid w:val="505521CD"/>
    <w:rsid w:val="537F797D"/>
    <w:rsid w:val="53D55AFF"/>
    <w:rsid w:val="55F112D3"/>
    <w:rsid w:val="56DC7009"/>
    <w:rsid w:val="5C134FE4"/>
    <w:rsid w:val="5C4251E7"/>
    <w:rsid w:val="5CB5471F"/>
    <w:rsid w:val="5D4D2BAA"/>
    <w:rsid w:val="5EB1186A"/>
    <w:rsid w:val="60CD0676"/>
    <w:rsid w:val="633F2F95"/>
    <w:rsid w:val="64F00A06"/>
    <w:rsid w:val="654269E3"/>
    <w:rsid w:val="66F36E22"/>
    <w:rsid w:val="67346B89"/>
    <w:rsid w:val="67DE6B13"/>
    <w:rsid w:val="6A892D47"/>
    <w:rsid w:val="6B117DEE"/>
    <w:rsid w:val="6DEF7365"/>
    <w:rsid w:val="6E00494C"/>
    <w:rsid w:val="6F4D7C29"/>
    <w:rsid w:val="6FC03DB1"/>
    <w:rsid w:val="70C0264F"/>
    <w:rsid w:val="72600832"/>
    <w:rsid w:val="75932CCC"/>
    <w:rsid w:val="759C4277"/>
    <w:rsid w:val="75AB17A8"/>
    <w:rsid w:val="769A1A0B"/>
    <w:rsid w:val="77AC6FC3"/>
    <w:rsid w:val="78BC253A"/>
    <w:rsid w:val="79425135"/>
    <w:rsid w:val="7B4D5B84"/>
    <w:rsid w:val="7B7D68D2"/>
    <w:rsid w:val="7C0F4FD2"/>
    <w:rsid w:val="7CE56503"/>
    <w:rsid w:val="7EFE565A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2"/>
    <w:qFormat/>
    <w:uiPriority w:val="9"/>
    <w:pPr>
      <w:keepNext/>
      <w:keepLines/>
      <w:spacing w:before="260" w:after="260" w:line="416" w:lineRule="auto"/>
      <w:outlineLvl w:val="2"/>
    </w:pPr>
    <w:rPr>
      <w:rFonts w:ascii="等线" w:hAnsi="等线" w:eastAsia="等线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table" w:styleId="14">
    <w:name w:val="Table Grid"/>
    <w:basedOn w:val="13"/>
    <w:qFormat/>
    <w:uiPriority w:val="59"/>
    <w:pPr>
      <w:jc w:val="center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6">
    <w:name w:val="Hyperlink"/>
    <w:qFormat/>
    <w:uiPriority w:val="0"/>
    <w:rPr>
      <w:color w:val="0000FF"/>
      <w:u w:val="single"/>
    </w:rPr>
  </w:style>
  <w:style w:type="paragraph" w:customStyle="1" w:styleId="17">
    <w:name w:val="1级标题-第一"/>
    <w:basedOn w:val="1"/>
    <w:qFormat/>
    <w:uiPriority w:val="0"/>
    <w:pPr>
      <w:spacing w:line="360" w:lineRule="auto"/>
      <w:jc w:val="center"/>
    </w:pPr>
    <w:rPr>
      <w:rFonts w:ascii="仿宋" w:hAnsi="仿宋"/>
      <w:b/>
      <w:sz w:val="28"/>
    </w:rPr>
  </w:style>
  <w:style w:type="paragraph" w:customStyle="1" w:styleId="18">
    <w:name w:val="3级标题-1"/>
    <w:basedOn w:val="1"/>
    <w:next w:val="4"/>
    <w:qFormat/>
    <w:uiPriority w:val="0"/>
    <w:pPr>
      <w:spacing w:line="360" w:lineRule="auto"/>
      <w:ind w:firstLine="200" w:firstLineChars="200"/>
      <w:jc w:val="left"/>
    </w:pPr>
    <w:rPr>
      <w:rFonts w:ascii="仿宋" w:hAnsi="仿宋"/>
      <w:b/>
      <w:sz w:val="24"/>
    </w:rPr>
  </w:style>
  <w:style w:type="paragraph" w:customStyle="1" w:styleId="19">
    <w:name w:val="我的正文"/>
    <w:basedOn w:val="1"/>
    <w:qFormat/>
    <w:uiPriority w:val="0"/>
    <w:pPr>
      <w:adjustRightInd w:val="0"/>
      <w:snapToGrid w:val="0"/>
      <w:spacing w:line="360" w:lineRule="auto"/>
      <w:ind w:left="210" w:leftChars="100" w:right="210" w:rightChars="100" w:firstLine="560" w:firstLineChars="200"/>
      <w:jc w:val="left"/>
    </w:pPr>
    <w:rPr>
      <w:rFonts w:ascii="宋体" w:hAnsi="宋体"/>
      <w:sz w:val="28"/>
      <w:szCs w:val="28"/>
    </w:rPr>
  </w:style>
  <w:style w:type="paragraph" w:customStyle="1" w:styleId="20">
    <w:name w:val="Default1"/>
    <w:basedOn w:val="21"/>
    <w:next w:val="21"/>
    <w:qFormat/>
    <w:uiPriority w:val="0"/>
    <w:rPr>
      <w:rFonts w:ascii="宋体" w:eastAsia="宋体" w:cs="Times New Roman"/>
      <w:color w:val="auto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22">
    <w:name w:val="标题 3 字符"/>
    <w:link w:val="2"/>
    <w:qFormat/>
    <w:uiPriority w:val="0"/>
    <w:rPr>
      <w:rFonts w:ascii="等线" w:hAnsi="等线" w:eastAsia="等线" w:cs="Times New Roman"/>
      <w:b/>
      <w:bCs/>
      <w:sz w:val="32"/>
      <w:szCs w:val="32"/>
    </w:rPr>
  </w:style>
  <w:style w:type="paragraph" w:customStyle="1" w:styleId="23">
    <w:name w:val="2级标题-一"/>
    <w:basedOn w:val="17"/>
    <w:qFormat/>
    <w:uiPriority w:val="0"/>
    <w:pPr>
      <w:jc w:val="left"/>
    </w:p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/>
    </w:rPr>
  </w:style>
  <w:style w:type="paragraph" w:styleId="2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7">
    <w:name w:val="页眉 字符"/>
    <w:basedOn w:val="15"/>
    <w:link w:val="10"/>
    <w:qFormat/>
    <w:uiPriority w:val="0"/>
    <w:rPr>
      <w:kern w:val="2"/>
      <w:sz w:val="18"/>
      <w:szCs w:val="18"/>
    </w:rPr>
  </w:style>
  <w:style w:type="character" w:customStyle="1" w:styleId="28">
    <w:name w:val="页脚 字符"/>
    <w:basedOn w:val="15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2681</Words>
  <Characters>3099</Characters>
  <Lines>90</Lines>
  <Paragraphs>25</Paragraphs>
  <TotalTime>1</TotalTime>
  <ScaleCrop>false</ScaleCrop>
  <LinksUpToDate>false</LinksUpToDate>
  <CharactersWithSpaces>3117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2022-03-13T12:59:00Z</dcterms:created>
  <dc:creator>Administrator</dc:creator>
  <cp:lastModifiedBy>对方正在输入...</cp:lastModifiedBy>
  <dcterms:modified xsi:type="dcterms:W3CDTF">2022-04-29T06:55:42Z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2707BA0CE5B74836957B0D4696B9BF43</vt:lpwstr>
  </property>
</Properties>
</file>