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spacing w:line="360" w:lineRule="auto"/>
        <w:ind w:firstLine="0" w:firstLineChars="0"/>
        <w:jc w:val="center"/>
        <w:rPr>
          <w:b/>
          <w:color w:val="000000" w:themeColor="text1"/>
          <w:sz w:val="32"/>
          <w:szCs w:val="32"/>
        </w:rPr>
      </w:pPr>
      <w:r>
        <w:rPr>
          <w:rFonts w:hint="eastAsia"/>
          <w:b/>
          <w:color w:val="000000" w:themeColor="text1"/>
          <w:sz w:val="32"/>
          <w:szCs w:val="32"/>
        </w:rPr>
        <w:t>易制爆、易制毒等危险化学品</w:t>
      </w:r>
      <w:r>
        <w:rPr>
          <w:rFonts w:hint="eastAsia"/>
          <w:b/>
          <w:color w:val="000000" w:themeColor="text1"/>
          <w:sz w:val="32"/>
          <w:szCs w:val="32"/>
          <w:lang w:val="en-US" w:eastAsia="zh-CN"/>
        </w:rPr>
        <w:t>库改造技术</w:t>
      </w:r>
      <w:r>
        <w:rPr>
          <w:rFonts w:hint="eastAsia"/>
          <w:b/>
          <w:color w:val="000000" w:themeColor="text1"/>
          <w:sz w:val="32"/>
          <w:szCs w:val="32"/>
        </w:rPr>
        <w:t>要求</w:t>
      </w:r>
    </w:p>
    <w:p>
      <w:pPr>
        <w:pStyle w:val="13"/>
        <w:spacing w:line="360" w:lineRule="auto"/>
        <w:ind w:firstLine="0" w:firstLineChars="0"/>
        <w:rPr>
          <w:b/>
          <w:color w:val="000000" w:themeColor="text1"/>
          <w:sz w:val="24"/>
          <w:szCs w:val="24"/>
        </w:rPr>
      </w:pPr>
      <w:r>
        <w:rPr>
          <w:rFonts w:hint="eastAsia"/>
          <w:b/>
          <w:color w:val="000000" w:themeColor="text1"/>
          <w:sz w:val="24"/>
          <w:szCs w:val="24"/>
        </w:rPr>
        <w:t>一、总体要求</w:t>
      </w:r>
    </w:p>
    <w:p>
      <w:pPr>
        <w:pStyle w:val="20"/>
        <w:spacing w:after="0" w:line="400" w:lineRule="exact"/>
      </w:pPr>
      <w:r>
        <w:rPr>
          <w:rFonts w:hint="eastAsia" w:ascii="宋体" w:hAnsi="宋体" w:eastAsia="宋体"/>
          <w:bCs/>
          <w:color w:val="000000" w:themeColor="text1"/>
          <w:sz w:val="24"/>
          <w:szCs w:val="24"/>
        </w:rPr>
        <w:t>1．</w:t>
      </w:r>
      <w:r>
        <w:rPr>
          <w:rFonts w:hint="eastAsia"/>
          <w:lang w:val="en-US" w:eastAsia="zh-CN"/>
        </w:rPr>
        <w:t>危化品储存室的改造和安防系统的设计、实施符</w:t>
      </w:r>
      <w:r>
        <w:rPr>
          <w:rFonts w:hint="eastAsia"/>
        </w:rPr>
        <w:t>合国家相关标准要求。</w:t>
      </w:r>
    </w:p>
    <w:p>
      <w:pPr>
        <w:pStyle w:val="20"/>
        <w:spacing w:after="0" w:line="400" w:lineRule="exact"/>
        <w:rPr>
          <w:rFonts w:hint="eastAsia"/>
        </w:rPr>
      </w:pPr>
      <w:r>
        <w:rPr>
          <w:rFonts w:hint="eastAsia"/>
        </w:rPr>
        <w:t>2．通过易制爆、易制毒等危险化学品库</w:t>
      </w:r>
      <w:r>
        <w:rPr>
          <w:rFonts w:hint="eastAsia"/>
          <w:lang w:val="en-US" w:eastAsia="zh-CN"/>
        </w:rPr>
        <w:t>安全评估</w:t>
      </w:r>
      <w:r>
        <w:rPr>
          <w:rFonts w:hint="eastAsia"/>
        </w:rPr>
        <w:t>验收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并取得安评验收报告</w:t>
      </w:r>
      <w:r>
        <w:rPr>
          <w:rFonts w:hint="eastAsia"/>
        </w:rPr>
        <w:t>。</w:t>
      </w:r>
    </w:p>
    <w:p>
      <w:pPr>
        <w:pStyle w:val="20"/>
        <w:spacing w:after="0" w:line="400" w:lineRule="exac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3、保证后续的联网运营工作满足公安机关要求。</w:t>
      </w:r>
    </w:p>
    <w:p>
      <w:pPr>
        <w:pStyle w:val="13"/>
        <w:spacing w:line="360" w:lineRule="auto"/>
        <w:ind w:firstLine="0" w:firstLineChars="0"/>
        <w:rPr>
          <w:b/>
          <w:color w:val="000000" w:themeColor="text1"/>
          <w:sz w:val="24"/>
          <w:szCs w:val="24"/>
        </w:rPr>
      </w:pPr>
      <w:r>
        <w:rPr>
          <w:rFonts w:hint="eastAsia"/>
          <w:b/>
          <w:color w:val="000000" w:themeColor="text1"/>
          <w:sz w:val="24"/>
          <w:szCs w:val="24"/>
        </w:rPr>
        <w:t>二、主要参数</w:t>
      </w:r>
    </w:p>
    <w:tbl>
      <w:tblPr>
        <w:tblStyle w:val="10"/>
        <w:tblW w:w="552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7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类别</w:t>
            </w:r>
          </w:p>
        </w:tc>
        <w:tc>
          <w:tcPr>
            <w:tcW w:w="4081" w:type="pct"/>
            <w:vAlign w:val="center"/>
          </w:tcPr>
          <w:p>
            <w:pPr>
              <w:pStyle w:val="20"/>
              <w:spacing w:after="0" w:line="24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kern w:val="2"/>
                <w:sz w:val="21"/>
                <w:szCs w:val="21"/>
              </w:rPr>
              <w:t>详细技术参数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pct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物防</w:t>
            </w:r>
          </w:p>
        </w:tc>
        <w:tc>
          <w:tcPr>
            <w:tcW w:w="4081" w:type="pct"/>
            <w:vAlign w:val="center"/>
          </w:tcPr>
          <w:p>
            <w:pPr>
              <w:pStyle w:val="20"/>
              <w:spacing w:after="0" w:line="240" w:lineRule="auto"/>
              <w:jc w:val="center"/>
              <w:rPr>
                <w:rFonts w:asciiTheme="minorHAnsi" w:hAnsiTheme="minorHAnsi" w:cstheme="minorBidi"/>
                <w:kern w:val="2"/>
                <w:sz w:val="21"/>
              </w:rPr>
            </w:pPr>
            <w:r>
              <w:rPr>
                <w:rFonts w:hint="eastAsia" w:asciiTheme="minorHAnsi" w:hAnsiTheme="minorHAnsi" w:cstheme="minorBidi"/>
                <w:kern w:val="2"/>
                <w:sz w:val="21"/>
              </w:rPr>
              <w:t>符合国家相关标准要求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pct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技防系统</w:t>
            </w:r>
          </w:p>
        </w:tc>
        <w:tc>
          <w:tcPr>
            <w:tcW w:w="4081" w:type="pct"/>
            <w:vAlign w:val="center"/>
          </w:tcPr>
          <w:p>
            <w:pPr>
              <w:pStyle w:val="20"/>
              <w:spacing w:after="0" w:line="240" w:lineRule="auto"/>
              <w:rPr>
                <w:rFonts w:asciiTheme="minorHAnsi" w:hAnsiTheme="minorHAnsi" w:cstheme="minorBidi"/>
                <w:kern w:val="2"/>
                <w:sz w:val="21"/>
              </w:rPr>
            </w:pPr>
            <w:r>
              <w:rPr>
                <w:rFonts w:hint="eastAsia" w:asciiTheme="minorHAnsi" w:hAnsiTheme="minorHAnsi" w:cstheme="minorBidi"/>
                <w:kern w:val="2"/>
                <w:sz w:val="21"/>
              </w:rPr>
              <w:t>符合国家相关标准要求，设至相应技防设备，并与北京市危险物品管理平台联网。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pct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视频监控系统</w:t>
            </w:r>
          </w:p>
        </w:tc>
        <w:tc>
          <w:tcPr>
            <w:tcW w:w="4081" w:type="pct"/>
            <w:vAlign w:val="center"/>
          </w:tcPr>
          <w:p>
            <w:pPr>
              <w:pStyle w:val="13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视频监控系统本地监视、存储和回放的视频图像分辨率应大于等于</w:t>
            </w:r>
            <w:r>
              <w:t>1280×720，图像帧率应大于等于25 fps</w:t>
            </w:r>
            <w:r>
              <w:rPr>
                <w:rFonts w:hint="eastAsia"/>
              </w:rPr>
              <w:t>；</w:t>
            </w:r>
          </w:p>
          <w:p>
            <w:pPr>
              <w:pStyle w:val="13"/>
              <w:numPr>
                <w:ilvl w:val="0"/>
                <w:numId w:val="2"/>
              </w:numPr>
              <w:ind w:firstLineChars="0"/>
            </w:pPr>
            <w:r>
              <w:t>视频图像存储时间应大于等于30天</w:t>
            </w:r>
            <w:r>
              <w:rPr>
                <w:rFonts w:hint="eastAsia"/>
              </w:rPr>
              <w:t>；</w:t>
            </w:r>
          </w:p>
          <w:p>
            <w:pPr>
              <w:pStyle w:val="13"/>
              <w:numPr>
                <w:ilvl w:val="0"/>
                <w:numId w:val="2"/>
              </w:numPr>
              <w:ind w:firstLineChars="0"/>
            </w:pPr>
            <w:r>
              <w:t>视频监控系统的其他要求应符合GB 50395的相关规</w:t>
            </w:r>
            <w:r>
              <w:rPr>
                <w:rFonts w:hint="eastAsia"/>
              </w:rPr>
              <w:t>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pct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报警系统</w:t>
            </w:r>
          </w:p>
        </w:tc>
        <w:tc>
          <w:tcPr>
            <w:tcW w:w="4081" w:type="pct"/>
            <w:vAlign w:val="center"/>
          </w:tcPr>
          <w:p>
            <w:pPr>
              <w:pStyle w:val="13"/>
              <w:numPr>
                <w:ilvl w:val="0"/>
                <w:numId w:val="3"/>
              </w:numPr>
              <w:ind w:firstLineChars="0"/>
            </w:pPr>
            <w:r>
              <w:t>入侵和紧急报警系统布防、撤防、故障和报警信息存储时间应大于等于90天</w:t>
            </w:r>
            <w:r>
              <w:rPr>
                <w:rFonts w:hint="eastAsia"/>
              </w:rPr>
              <w:t>；</w:t>
            </w:r>
          </w:p>
          <w:p>
            <w:pPr>
              <w:pStyle w:val="13"/>
              <w:numPr>
                <w:ilvl w:val="0"/>
                <w:numId w:val="3"/>
              </w:numPr>
              <w:ind w:firstLineChars="0"/>
            </w:pPr>
            <w:r>
              <w:t>入侵和紧急报警系统其他要求应符合GB/T 32581的相关规定</w:t>
            </w:r>
            <w:r>
              <w:rPr>
                <w:rFonts w:hint="eastAsia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pct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出入口控制系统</w:t>
            </w:r>
          </w:p>
        </w:tc>
        <w:tc>
          <w:tcPr>
            <w:tcW w:w="4081" w:type="pct"/>
            <w:vAlign w:val="center"/>
          </w:tcPr>
          <w:p>
            <w:pPr>
              <w:pStyle w:val="13"/>
              <w:numPr>
                <w:ilvl w:val="0"/>
                <w:numId w:val="4"/>
              </w:numPr>
              <w:ind w:firstLineChars="0"/>
            </w:pPr>
            <w:r>
              <w:rPr>
                <w:rFonts w:hint="eastAsia"/>
              </w:rPr>
              <w:t>出入口控制系统应能对强行破坏、非法进入的行为或不正确的识读发出报警信号，报警信号应与相关出入口的视频图像联动。</w:t>
            </w:r>
            <w:r>
              <w:t>储存场所出入口</w:t>
            </w:r>
            <w:r>
              <w:rPr>
                <w:rFonts w:hint="eastAsia"/>
              </w:rPr>
              <w:t>的报警信号与联动视频图像应发送到安防监控中心；</w:t>
            </w:r>
          </w:p>
          <w:p>
            <w:pPr>
              <w:pStyle w:val="13"/>
              <w:numPr>
                <w:ilvl w:val="0"/>
                <w:numId w:val="4"/>
              </w:numPr>
              <w:ind w:firstLineChars="0"/>
            </w:pPr>
            <w:r>
              <w:rPr>
                <w:rFonts w:hint="eastAsia"/>
              </w:rPr>
              <w:t>出入口控制系统信息存储时间应大于等于180天；</w:t>
            </w:r>
          </w:p>
          <w:p>
            <w:pPr>
              <w:pStyle w:val="13"/>
              <w:numPr>
                <w:ilvl w:val="0"/>
                <w:numId w:val="4"/>
              </w:numPr>
              <w:ind w:firstLineChars="0"/>
            </w:pPr>
            <w:r>
              <w:rPr>
                <w:rFonts w:hint="eastAsia"/>
              </w:rPr>
              <w:t>出入口控制系统的其他要求应符合GB 50396的相关规定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pct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备电系统</w:t>
            </w:r>
          </w:p>
        </w:tc>
        <w:tc>
          <w:tcPr>
            <w:tcW w:w="4081" w:type="pct"/>
            <w:vAlign w:val="center"/>
          </w:tcPr>
          <w:p>
            <w:pPr>
              <w:pStyle w:val="13"/>
              <w:numPr>
                <w:ilvl w:val="0"/>
                <w:numId w:val="5"/>
              </w:numPr>
              <w:ind w:firstLineChars="0"/>
            </w:pPr>
            <w:r>
              <w:rPr>
                <w:rFonts w:hint="eastAsia"/>
              </w:rPr>
              <w:t>系统应有备用电源,应保证主电源断电后入侵报警系统正常工作大于等于8 h；</w:t>
            </w:r>
          </w:p>
          <w:p>
            <w:pPr>
              <w:pStyle w:val="13"/>
              <w:numPr>
                <w:ilvl w:val="0"/>
                <w:numId w:val="5"/>
              </w:numPr>
              <w:ind w:firstLineChars="0"/>
            </w:pPr>
            <w:r>
              <w:rPr>
                <w:rFonts w:hint="eastAsia"/>
              </w:rPr>
              <w:t>视频监控系统关键设备正常工作大于等于1 h；</w:t>
            </w:r>
          </w:p>
          <w:p>
            <w:pPr>
              <w:pStyle w:val="13"/>
              <w:numPr>
                <w:ilvl w:val="0"/>
                <w:numId w:val="5"/>
              </w:numPr>
              <w:ind w:firstLineChars="0"/>
            </w:pPr>
            <w:r>
              <w:rPr>
                <w:rFonts w:hint="eastAsia"/>
              </w:rPr>
              <w:t>出入口控制系统正常工作大于等于48 h。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pct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  <w:lang w:val="en-US" w:eastAsia="zh-CN"/>
              </w:rPr>
              <w:t>安评</w:t>
            </w:r>
            <w:r>
              <w:rPr>
                <w:rFonts w:hint="eastAsia"/>
              </w:rPr>
              <w:t>验收</w:t>
            </w:r>
          </w:p>
        </w:tc>
        <w:tc>
          <w:tcPr>
            <w:tcW w:w="4081" w:type="pct"/>
            <w:vAlign w:val="center"/>
          </w:tcPr>
          <w:p>
            <w:r>
              <w:rPr>
                <w:rFonts w:hint="eastAsia"/>
              </w:rPr>
              <w:t>聘请公安机关指定第三方监测评估机构进行安全评估，取得评估报告。</w:t>
            </w:r>
          </w:p>
        </w:tc>
      </w:tr>
    </w:tbl>
    <w:p>
      <w:pPr>
        <w:pStyle w:val="13"/>
        <w:spacing w:line="400" w:lineRule="exact"/>
        <w:ind w:firstLine="0" w:firstLineChars="0"/>
        <w:rPr>
          <w:rFonts w:hint="eastAsia"/>
          <w:bCs/>
          <w:color w:val="000000" w:themeColor="text1"/>
          <w:sz w:val="24"/>
          <w:szCs w:val="24"/>
        </w:rPr>
      </w:pPr>
    </w:p>
    <w:p>
      <w:pPr>
        <w:pStyle w:val="13"/>
        <w:spacing w:line="400" w:lineRule="exact"/>
        <w:ind w:firstLine="0" w:firstLineChars="0"/>
        <w:rPr>
          <w:rFonts w:hint="default" w:eastAsiaTheme="minorEastAsia"/>
          <w:bCs/>
          <w:color w:val="000000" w:themeColor="text1"/>
          <w:sz w:val="24"/>
          <w:szCs w:val="24"/>
          <w:lang w:val="en-US" w:eastAsia="zh-CN"/>
        </w:rPr>
      </w:pPr>
      <w:r>
        <w:rPr>
          <w:rFonts w:hint="eastAsia"/>
          <w:bCs/>
          <w:color w:val="000000" w:themeColor="text1"/>
          <w:sz w:val="24"/>
          <w:szCs w:val="24"/>
        </w:rPr>
        <w:t>附件1：安防</w:t>
      </w:r>
      <w:r>
        <w:rPr>
          <w:rFonts w:hint="eastAsia"/>
          <w:bCs/>
          <w:color w:val="000000" w:themeColor="text1"/>
          <w:sz w:val="24"/>
          <w:szCs w:val="24"/>
          <w:lang w:val="en-US" w:eastAsia="zh-CN"/>
        </w:rPr>
        <w:t>工程配置清单</w:t>
      </w:r>
    </w:p>
    <w:tbl>
      <w:tblPr>
        <w:tblStyle w:val="9"/>
        <w:tblpPr w:leftFromText="180" w:rightFromText="180" w:vertAnchor="text" w:horzAnchor="page" w:tblpX="1867" w:tblpY="670"/>
        <w:tblOverlap w:val="never"/>
        <w:tblW w:w="494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2392"/>
        <w:gridCol w:w="1318"/>
        <w:gridCol w:w="1810"/>
        <w:gridCol w:w="928"/>
        <w:gridCol w:w="8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pStyle w:val="13"/>
              <w:spacing w:line="400" w:lineRule="exact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b/>
                <w:bCs w:val="0"/>
                <w:color w:val="000000" w:themeColor="text1"/>
                <w:sz w:val="24"/>
                <w:szCs w:val="24"/>
                <w:lang w:val="en-US" w:eastAsia="zh-CN"/>
              </w:rPr>
              <w:t>易制爆、易制毒危险化学品库</w:t>
            </w:r>
            <w:r>
              <w:rPr>
                <w:rFonts w:hint="eastAsia"/>
                <w:b/>
                <w:bCs w:val="0"/>
                <w:color w:val="000000" w:themeColor="text1"/>
                <w:sz w:val="24"/>
                <w:szCs w:val="24"/>
              </w:rPr>
              <w:t>安防</w:t>
            </w:r>
            <w:r>
              <w:rPr>
                <w:rFonts w:hint="eastAsia"/>
                <w:b/>
                <w:bCs w:val="0"/>
                <w:color w:val="000000" w:themeColor="text1"/>
                <w:sz w:val="24"/>
                <w:szCs w:val="24"/>
                <w:lang w:val="en-US" w:eastAsia="zh-CN"/>
              </w:rPr>
              <w:t>工程配置清单</w:t>
            </w:r>
          </w:p>
        </w:tc>
      </w:tr>
      <w:tr>
        <w:trPr>
          <w:trHeight w:val="379" w:hRule="atLeast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一、防盗报警部分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4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设备名称</w:t>
            </w:r>
          </w:p>
        </w:tc>
        <w:tc>
          <w:tcPr>
            <w:tcW w:w="7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生产厂家</w:t>
            </w:r>
          </w:p>
        </w:tc>
        <w:tc>
          <w:tcPr>
            <w:tcW w:w="10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型 号</w:t>
            </w:r>
          </w:p>
        </w:tc>
        <w:tc>
          <w:tcPr>
            <w:tcW w:w="5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单 位</w:t>
            </w:r>
          </w:p>
        </w:tc>
        <w:tc>
          <w:tcPr>
            <w:tcW w:w="5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数 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报警控制主机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丛文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CN4216WG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报警</w:t>
            </w:r>
            <w:bookmarkStart w:id="0" w:name="_GoBack"/>
            <w:bookmarkEnd w:id="0"/>
            <w:r>
              <w:rPr>
                <w:rFonts w:hint="eastAsia"/>
                <w:sz w:val="18"/>
                <w:szCs w:val="18"/>
              </w:rPr>
              <w:t>软件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从文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联网定制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套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报警系统变压器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丛文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24V/6A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主机电池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通力源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12V/7AH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块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机箱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丛文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AB-B01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联动模块（综合）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丛文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CN9500WG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套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LED控制键盘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丛文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CN0055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紧急求助按钮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霍尼韦尔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PB-110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声光报警器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豪恩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HC-103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报警打印机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丛文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DP-EH300/6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事件记录仪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丛文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CN1002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双鉴入侵探测器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霍尼韦尔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MIR3500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防爆红外双鉴探测器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艾利安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ALA-EX-WG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5000" w:type="pct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二、门禁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设备名称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生产厂家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型号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单位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门禁控制器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微耕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WG2001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机箱电源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微耕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ZD10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IC读卡器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微耕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WG1060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电磁锁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微耕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ZD280GF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把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玻璃破碎开关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海湾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A02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门禁专用开关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微耕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ZDE6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联动模块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微耕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WG2000P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门禁充电电源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衡孚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12V5A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rPr>
          <w:trHeight w:val="420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后备电池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山特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100AH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块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电池箱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定制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A1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IC卡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微耕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门禁管理软件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微耕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WG2000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套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门禁工控机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微耕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A100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5000" w:type="pct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三、视频监控部分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</w:rPr>
              <w:t>序号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</w:rPr>
              <w:t>设备名称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</w:rPr>
              <w:t>生产厂家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</w:rPr>
              <w:t>型号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</w:rPr>
              <w:t>单位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</w:rPr>
              <w:t>数量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显示器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大华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DHL22-F500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危险品库专用数字硬盘录像机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大华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DH-4416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防爆半球摄像机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大华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DH-IPC-HDBW2233R-AS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防爆半球摄像机支架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恒宝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A100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高清红外摄像机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大华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IPC-HDW4233C-A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视频存储硬盘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希捷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4T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块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16口工业交换机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众通源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F1620FBL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8口工业交换机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众通源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F0820FBL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联动模块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从文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CN0120wg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块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核心交换机（上传专用）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锐捷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RG-EG800Y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光纤收发器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光信光通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GX-HD1F1-1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对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无线路由器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拓实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LT210T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PDU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公牛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定制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UPS机头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山特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MT1000s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UPS电池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山特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38AH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电池柜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定制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A3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设备箱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定制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rPr>
          <w:trHeight w:val="379" w:hRule="atLeast"/>
        </w:trPr>
        <w:tc>
          <w:tcPr>
            <w:tcW w:w="5000" w:type="pct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四、环境监测部分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多功能主机报警控制柜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NUODUN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ND-K100-Z wg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信息传输模块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NUODUN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氧气浓度探测器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NUODUN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ND-T1000O2 wg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温湿度探测器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NUODUN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ND-T100WT wg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有毒气体探测器（VOC）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NUODUN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ND-T100VOC wg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防爆声光报警灯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NUODUN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联动模块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NUODUN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485光端机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光信光通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套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5000" w:type="pct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五、线缆辅料部分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序号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设备名称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生产厂家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型号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超五类网线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远东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UTP5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米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JPG管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利达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定制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米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防爆铁管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利达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定制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米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防爆软管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JZCN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定制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条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防爆过线盒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JZCN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定制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防爆三孔插座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JZCN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定制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防爆开关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JZCN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定制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光纤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光信光通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4芯单膜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米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400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报警数据线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远东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RVV6*0.5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米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电源线缆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远东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RVV3*2.5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米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设备接地引线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远东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BV16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光纤熔接、光辅料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光信光通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套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耐腐蚀通风管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联塑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PVC160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米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</w:tr>
      <w:tr>
        <w:trPr>
          <w:trHeight w:val="379" w:hRule="atLeast"/>
        </w:trPr>
        <w:tc>
          <w:tcPr>
            <w:tcW w:w="6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1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辅料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定制</w:t>
            </w: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</w:tbl>
    <w:p>
      <w:pPr>
        <w:pStyle w:val="13"/>
        <w:spacing w:line="400" w:lineRule="exact"/>
        <w:ind w:firstLine="0" w:firstLineChars="0"/>
        <w:jc w:val="left"/>
        <w:rPr>
          <w:rFonts w:hint="eastAsia"/>
          <w:bCs/>
          <w:color w:val="000000" w:themeColor="text1"/>
          <w:sz w:val="24"/>
          <w:szCs w:val="24"/>
        </w:rPr>
      </w:pPr>
    </w:p>
    <w:p>
      <w:pPr>
        <w:pStyle w:val="13"/>
        <w:spacing w:line="400" w:lineRule="exact"/>
        <w:ind w:firstLine="0" w:firstLineChars="0"/>
        <w:jc w:val="left"/>
        <w:rPr>
          <w:rFonts w:hint="eastAsia"/>
          <w:bCs/>
          <w:color w:val="000000" w:themeColor="text1"/>
          <w:sz w:val="24"/>
          <w:szCs w:val="24"/>
        </w:rPr>
      </w:pPr>
    </w:p>
    <w:p>
      <w:pPr>
        <w:pStyle w:val="13"/>
        <w:spacing w:line="400" w:lineRule="exact"/>
        <w:ind w:firstLine="0" w:firstLineChars="0"/>
        <w:jc w:val="left"/>
        <w:rPr>
          <w:bCs/>
          <w:color w:val="000000" w:themeColor="text1"/>
          <w:sz w:val="24"/>
          <w:szCs w:val="24"/>
        </w:rPr>
      </w:pPr>
      <w:r>
        <w:rPr>
          <w:rFonts w:hint="eastAsia"/>
          <w:bCs/>
          <w:color w:val="000000" w:themeColor="text1"/>
          <w:sz w:val="24"/>
          <w:szCs w:val="24"/>
        </w:rPr>
        <w:t>附件2：装修工程</w:t>
      </w:r>
      <w:r>
        <w:rPr>
          <w:rFonts w:hint="eastAsia"/>
          <w:bCs/>
          <w:color w:val="000000" w:themeColor="text1"/>
          <w:sz w:val="24"/>
          <w:szCs w:val="24"/>
          <w:lang w:val="en-US" w:eastAsia="zh-CN"/>
        </w:rPr>
        <w:t>配置清单</w:t>
      </w:r>
      <w:r>
        <w:rPr>
          <w:rFonts w:hint="eastAsia"/>
          <w:bCs/>
          <w:color w:val="000000" w:themeColor="text1"/>
          <w:sz w:val="24"/>
          <w:szCs w:val="24"/>
        </w:rPr>
        <w:t>明细</w:t>
      </w:r>
    </w:p>
    <w:tbl>
      <w:tblPr>
        <w:tblStyle w:val="9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5589"/>
        <w:gridCol w:w="1070"/>
        <w:gridCol w:w="1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61" w:type="pct"/>
            <w:shd w:val="clear" w:color="000000" w:fill="FFFFFF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3279" w:type="pct"/>
            <w:shd w:val="clear" w:color="000000" w:fill="FFFFFF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易制爆、易制毒等危险化学品库装修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项目及规格说明</w:t>
            </w:r>
          </w:p>
        </w:tc>
        <w:tc>
          <w:tcPr>
            <w:tcW w:w="628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数 量</w:t>
            </w:r>
          </w:p>
        </w:tc>
        <w:tc>
          <w:tcPr>
            <w:tcW w:w="630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61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3279" w:type="pct"/>
            <w:shd w:val="clear" w:color="000000" w:fill="FFFFFF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供应及安装易制爆库房门、中控室门</w:t>
            </w:r>
          </w:p>
        </w:tc>
        <w:tc>
          <w:tcPr>
            <w:tcW w:w="628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30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61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279" w:type="pct"/>
            <w:shd w:val="clear" w:color="000000" w:fill="FFFFFF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主材：鼎然甲级防盗门（甲级、双锁 防腐蚀）易制毒库、危废库</w:t>
            </w:r>
          </w:p>
        </w:tc>
        <w:tc>
          <w:tcPr>
            <w:tcW w:w="628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2.00 </w:t>
            </w:r>
          </w:p>
        </w:tc>
        <w:tc>
          <w:tcPr>
            <w:tcW w:w="630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61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279" w:type="pct"/>
            <w:shd w:val="clear" w:color="000000" w:fill="FFFFFF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安装及运输费:</w:t>
            </w:r>
          </w:p>
        </w:tc>
        <w:tc>
          <w:tcPr>
            <w:tcW w:w="628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2.00 </w:t>
            </w:r>
          </w:p>
        </w:tc>
        <w:tc>
          <w:tcPr>
            <w:tcW w:w="630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61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279" w:type="pct"/>
            <w:shd w:val="clear" w:color="000000" w:fill="FFFFFF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工艺：工厂定制成品、现场安装。</w:t>
            </w:r>
          </w:p>
        </w:tc>
        <w:tc>
          <w:tcPr>
            <w:tcW w:w="628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30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61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3279" w:type="pct"/>
            <w:shd w:val="clear" w:color="000000" w:fill="FFFFFF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供应及安装防护栅栏</w:t>
            </w:r>
          </w:p>
        </w:tc>
        <w:tc>
          <w:tcPr>
            <w:tcW w:w="628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30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61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279" w:type="pct"/>
            <w:shd w:val="clear" w:color="000000" w:fill="FFFFFF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窗户防护栏</w:t>
            </w:r>
          </w:p>
        </w:tc>
        <w:tc>
          <w:tcPr>
            <w:tcW w:w="628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16.00 </w:t>
            </w:r>
          </w:p>
        </w:tc>
        <w:tc>
          <w:tcPr>
            <w:tcW w:w="630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平米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61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3279" w:type="pct"/>
            <w:shd w:val="clear" w:color="000000" w:fill="FFFFFF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防爆型人体静电释放器</w:t>
            </w:r>
          </w:p>
        </w:tc>
        <w:tc>
          <w:tcPr>
            <w:tcW w:w="628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30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61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279" w:type="pct"/>
            <w:shd w:val="clear" w:color="000000" w:fill="FFFFFF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主材:防爆型 ET-PS-D（艾特）</w:t>
            </w:r>
          </w:p>
        </w:tc>
        <w:tc>
          <w:tcPr>
            <w:tcW w:w="628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2.00 </w:t>
            </w:r>
          </w:p>
        </w:tc>
        <w:tc>
          <w:tcPr>
            <w:tcW w:w="630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61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279" w:type="pct"/>
            <w:shd w:val="clear" w:color="000000" w:fill="FFFFFF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人工费：接地线人工及材料费</w:t>
            </w:r>
          </w:p>
        </w:tc>
        <w:tc>
          <w:tcPr>
            <w:tcW w:w="628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2.00 </w:t>
            </w:r>
          </w:p>
        </w:tc>
        <w:tc>
          <w:tcPr>
            <w:tcW w:w="630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61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3279" w:type="pct"/>
            <w:shd w:val="clear" w:color="000000" w:fill="FFFFFF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防爆灯</w:t>
            </w:r>
          </w:p>
        </w:tc>
        <w:tc>
          <w:tcPr>
            <w:tcW w:w="628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30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61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279" w:type="pct"/>
            <w:shd w:val="clear" w:color="000000" w:fill="FFFFFF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主材:LED-40W双管国标防爆灯（新黎明）</w:t>
            </w:r>
          </w:p>
        </w:tc>
        <w:tc>
          <w:tcPr>
            <w:tcW w:w="628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6.00 </w:t>
            </w:r>
          </w:p>
        </w:tc>
        <w:tc>
          <w:tcPr>
            <w:tcW w:w="630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461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279" w:type="pct"/>
            <w:shd w:val="clear" w:color="000000" w:fill="FFFFFF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工艺：成品购置，现场安装</w:t>
            </w:r>
          </w:p>
        </w:tc>
        <w:tc>
          <w:tcPr>
            <w:tcW w:w="628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30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61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3279" w:type="pct"/>
            <w:shd w:val="clear" w:color="000000" w:fill="FFFFFF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防爆排风系统 </w:t>
            </w:r>
          </w:p>
        </w:tc>
        <w:tc>
          <w:tcPr>
            <w:tcW w:w="628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30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61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279" w:type="pct"/>
            <w:shd w:val="clear" w:color="000000" w:fill="FFFFFF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东升防爆CBF300</w:t>
            </w:r>
          </w:p>
        </w:tc>
        <w:tc>
          <w:tcPr>
            <w:tcW w:w="628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 xml:space="preserve">.00 </w:t>
            </w:r>
          </w:p>
        </w:tc>
        <w:tc>
          <w:tcPr>
            <w:tcW w:w="630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61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279" w:type="pc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环保过滤箱+止逆阀</w:t>
            </w:r>
          </w:p>
        </w:tc>
        <w:tc>
          <w:tcPr>
            <w:tcW w:w="628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630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61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279" w:type="pct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工艺：墙壁开孔、恢复，现场安装。</w:t>
            </w:r>
          </w:p>
        </w:tc>
        <w:tc>
          <w:tcPr>
            <w:tcW w:w="628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630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61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3279" w:type="pct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灯位及排风系统布线布管</w:t>
            </w:r>
          </w:p>
        </w:tc>
        <w:tc>
          <w:tcPr>
            <w:tcW w:w="628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30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61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0"/>
                <w:szCs w:val="20"/>
              </w:rPr>
              <w:t>　</w:t>
            </w:r>
          </w:p>
        </w:tc>
        <w:tc>
          <w:tcPr>
            <w:tcW w:w="3279" w:type="pct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主材：防爆钢管，国标电源线</w:t>
            </w:r>
          </w:p>
        </w:tc>
        <w:tc>
          <w:tcPr>
            <w:tcW w:w="628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4.00 </w:t>
            </w:r>
          </w:p>
        </w:tc>
        <w:tc>
          <w:tcPr>
            <w:tcW w:w="630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点位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61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279" w:type="pct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工艺：穿线管内穿塑铜线（不超过3根）、管内电线</w:t>
            </w:r>
          </w:p>
        </w:tc>
        <w:tc>
          <w:tcPr>
            <w:tcW w:w="628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30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61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279" w:type="pct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不得接头,线卡或绑扎固定线管、分线处用分线盒</w:t>
            </w:r>
          </w:p>
        </w:tc>
        <w:tc>
          <w:tcPr>
            <w:tcW w:w="628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30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61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3279" w:type="pct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库房墙面新建</w:t>
            </w:r>
          </w:p>
        </w:tc>
        <w:tc>
          <w:tcPr>
            <w:tcW w:w="628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平米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9" w:hRule="atLeast"/>
        </w:trPr>
        <w:tc>
          <w:tcPr>
            <w:tcW w:w="461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279" w:type="pct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吊顶（轻钢龙骨）</w:t>
            </w:r>
          </w:p>
        </w:tc>
        <w:tc>
          <w:tcPr>
            <w:tcW w:w="628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28.00 </w:t>
            </w:r>
          </w:p>
        </w:tc>
        <w:tc>
          <w:tcPr>
            <w:tcW w:w="630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61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3279" w:type="pct"/>
            <w:shd w:val="clear" w:color="000000" w:fill="FFFFFF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防爆化学品柜（12加仑(出报告））</w:t>
            </w:r>
          </w:p>
        </w:tc>
        <w:tc>
          <w:tcPr>
            <w:tcW w:w="628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630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61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279" w:type="pct"/>
            <w:shd w:val="clear" w:color="000000" w:fill="FFFFFF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柜体采用 1.2mm 双层优质冷轧防火钢板焊接成形，具有防爆合格证，符合GA1511—2018标准</w:t>
            </w:r>
          </w:p>
        </w:tc>
        <w:tc>
          <w:tcPr>
            <w:tcW w:w="628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30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61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279" w:type="pct"/>
            <w:shd w:val="clear" w:color="000000" w:fill="FFFFFF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防爆化学品PP柜（12加仑PP内衬(出报告）） </w:t>
            </w:r>
          </w:p>
        </w:tc>
        <w:tc>
          <w:tcPr>
            <w:tcW w:w="628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2.00 </w:t>
            </w:r>
          </w:p>
        </w:tc>
        <w:tc>
          <w:tcPr>
            <w:tcW w:w="630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61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279" w:type="pct"/>
            <w:shd w:val="clear" w:color="000000" w:fill="FFFFFF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柜体采用 1.2mm 双层优质冷轧防火钢板焊接成形，具有防爆合格证，符合GA1511—2018标准</w:t>
            </w:r>
          </w:p>
        </w:tc>
        <w:tc>
          <w:tcPr>
            <w:tcW w:w="628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30" w:type="pct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>
      <w:pPr>
        <w:pStyle w:val="13"/>
        <w:spacing w:line="400" w:lineRule="exact"/>
        <w:ind w:firstLine="0" w:firstLineChars="0"/>
        <w:jc w:val="left"/>
        <w:rPr>
          <w:bCs/>
          <w:color w:val="000000" w:themeColor="text1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ntury">
    <w:altName w:val="Times New Roman"/>
    <w:panose1 w:val="02040604050505020304"/>
    <w:charset w:val="00"/>
    <w:family w:val="roman"/>
    <w:pitch w:val="default"/>
    <w:sig w:usb0="00000000" w:usb1="00000000" w:usb2="00000000" w:usb3="00000000" w:csb0="0000009F" w:csb1="00000000"/>
  </w:font>
  <w:font w:name="MS PMincho">
    <w:altName w:val="Yu Gothic UI"/>
    <w:panose1 w:val="02020600040205080304"/>
    <w:charset w:val="80"/>
    <w:family w:val="roman"/>
    <w:pitch w:val="default"/>
    <w:sig w:usb0="00000000" w:usb1="00000000" w:usb2="00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82607F"/>
    <w:multiLevelType w:val="multilevel"/>
    <w:tmpl w:val="0282607F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asciiTheme="minorHAnsi" w:hAnsiTheme="minorHAnsi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E337D21"/>
    <w:multiLevelType w:val="multilevel"/>
    <w:tmpl w:val="0E337D21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ascii="宋体" w:hAnsi="宋体"/>
        <w:color w:val="00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4907190"/>
    <w:multiLevelType w:val="multilevel"/>
    <w:tmpl w:val="5490719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FD05D71"/>
    <w:multiLevelType w:val="multilevel"/>
    <w:tmpl w:val="6FD05D71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7357DC4"/>
    <w:multiLevelType w:val="multilevel"/>
    <w:tmpl w:val="77357DC4"/>
    <w:lvl w:ilvl="0" w:tentative="0">
      <w:start w:val="1"/>
      <w:numFmt w:val="decimal"/>
      <w:pStyle w:val="22"/>
      <w:lvlText w:val="(%1)"/>
      <w:lvlJc w:val="left"/>
      <w:pPr>
        <w:ind w:left="1641" w:hanging="405"/>
      </w:pPr>
      <w:rPr>
        <w:rFonts w:hint="default" w:ascii="Century"/>
      </w:rPr>
    </w:lvl>
    <w:lvl w:ilvl="1" w:tentative="0">
      <w:start w:val="1"/>
      <w:numFmt w:val="aiueoFullWidth"/>
      <w:lvlText w:val="(%2)"/>
      <w:lvlJc w:val="left"/>
      <w:pPr>
        <w:ind w:left="1260" w:hanging="420"/>
      </w:pPr>
    </w:lvl>
    <w:lvl w:ilvl="2" w:tentative="0">
      <w:start w:val="1"/>
      <w:numFmt w:val="decimalEnclosedCircle"/>
      <w:lvlText w:val="%3"/>
      <w:lvlJc w:val="lef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aiueoFullWidth"/>
      <w:lvlText w:val="(%5)"/>
      <w:lvlJc w:val="left"/>
      <w:pPr>
        <w:ind w:left="2520" w:hanging="420"/>
      </w:pPr>
    </w:lvl>
    <w:lvl w:ilvl="5" w:tentative="0">
      <w:start w:val="1"/>
      <w:numFmt w:val="decimalEnclosedCircle"/>
      <w:lvlText w:val="%6"/>
      <w:lvlJc w:val="lef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aiueoFullWidth"/>
      <w:lvlText w:val="(%8)"/>
      <w:lvlJc w:val="left"/>
      <w:pPr>
        <w:ind w:left="3780" w:hanging="420"/>
      </w:pPr>
    </w:lvl>
    <w:lvl w:ilvl="8" w:tentative="0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C5C1C"/>
    <w:rsid w:val="000208B8"/>
    <w:rsid w:val="00034D03"/>
    <w:rsid w:val="000A5ABA"/>
    <w:rsid w:val="000B50E2"/>
    <w:rsid w:val="000C7F2B"/>
    <w:rsid w:val="00146C2D"/>
    <w:rsid w:val="00177D94"/>
    <w:rsid w:val="001876AE"/>
    <w:rsid w:val="00197523"/>
    <w:rsid w:val="00197B40"/>
    <w:rsid w:val="001D7426"/>
    <w:rsid w:val="001E1BC3"/>
    <w:rsid w:val="00210760"/>
    <w:rsid w:val="00211054"/>
    <w:rsid w:val="00250457"/>
    <w:rsid w:val="0025129D"/>
    <w:rsid w:val="0025308E"/>
    <w:rsid w:val="002A3833"/>
    <w:rsid w:val="002A41CD"/>
    <w:rsid w:val="002A7655"/>
    <w:rsid w:val="002F3BF7"/>
    <w:rsid w:val="00371CF2"/>
    <w:rsid w:val="003D4486"/>
    <w:rsid w:val="00445930"/>
    <w:rsid w:val="0052225F"/>
    <w:rsid w:val="00582D5A"/>
    <w:rsid w:val="00595E27"/>
    <w:rsid w:val="005F6601"/>
    <w:rsid w:val="00667B4B"/>
    <w:rsid w:val="00683901"/>
    <w:rsid w:val="00701337"/>
    <w:rsid w:val="0075712F"/>
    <w:rsid w:val="007679E4"/>
    <w:rsid w:val="00786061"/>
    <w:rsid w:val="007F5B25"/>
    <w:rsid w:val="007F747A"/>
    <w:rsid w:val="008027D4"/>
    <w:rsid w:val="008351C4"/>
    <w:rsid w:val="00843147"/>
    <w:rsid w:val="00843963"/>
    <w:rsid w:val="00885419"/>
    <w:rsid w:val="008A5C55"/>
    <w:rsid w:val="008C5C1C"/>
    <w:rsid w:val="008F5CB9"/>
    <w:rsid w:val="009072B1"/>
    <w:rsid w:val="009131CE"/>
    <w:rsid w:val="009366D5"/>
    <w:rsid w:val="009D5561"/>
    <w:rsid w:val="009E358B"/>
    <w:rsid w:val="009E5DBA"/>
    <w:rsid w:val="009F449D"/>
    <w:rsid w:val="00A015B4"/>
    <w:rsid w:val="00A357A0"/>
    <w:rsid w:val="00A57C3F"/>
    <w:rsid w:val="00A66B98"/>
    <w:rsid w:val="00AA11EC"/>
    <w:rsid w:val="00AB3898"/>
    <w:rsid w:val="00AE3B00"/>
    <w:rsid w:val="00B3239F"/>
    <w:rsid w:val="00B64303"/>
    <w:rsid w:val="00B6650E"/>
    <w:rsid w:val="00B67971"/>
    <w:rsid w:val="00B81944"/>
    <w:rsid w:val="00BB163E"/>
    <w:rsid w:val="00BB5574"/>
    <w:rsid w:val="00BC5EB6"/>
    <w:rsid w:val="00BE08BB"/>
    <w:rsid w:val="00C00F96"/>
    <w:rsid w:val="00C42E90"/>
    <w:rsid w:val="00C448EF"/>
    <w:rsid w:val="00C45E33"/>
    <w:rsid w:val="00C60BDC"/>
    <w:rsid w:val="00C72363"/>
    <w:rsid w:val="00CE508B"/>
    <w:rsid w:val="00CF0EE6"/>
    <w:rsid w:val="00DA5D5D"/>
    <w:rsid w:val="00E31278"/>
    <w:rsid w:val="00EA6C15"/>
    <w:rsid w:val="00EB1A5C"/>
    <w:rsid w:val="00ED6E7F"/>
    <w:rsid w:val="00F219F1"/>
    <w:rsid w:val="00F41BA9"/>
    <w:rsid w:val="00F46835"/>
    <w:rsid w:val="00F54135"/>
    <w:rsid w:val="00F75D4F"/>
    <w:rsid w:val="00FC5D17"/>
    <w:rsid w:val="02900AA0"/>
    <w:rsid w:val="040A71D4"/>
    <w:rsid w:val="086A1467"/>
    <w:rsid w:val="0966150B"/>
    <w:rsid w:val="0BDB0709"/>
    <w:rsid w:val="0E46017F"/>
    <w:rsid w:val="0F68656F"/>
    <w:rsid w:val="0F8B19A2"/>
    <w:rsid w:val="130857CB"/>
    <w:rsid w:val="14165FA0"/>
    <w:rsid w:val="18AC1A73"/>
    <w:rsid w:val="1BD335C5"/>
    <w:rsid w:val="1C126D0E"/>
    <w:rsid w:val="21A725D6"/>
    <w:rsid w:val="22D04956"/>
    <w:rsid w:val="26755546"/>
    <w:rsid w:val="283607BE"/>
    <w:rsid w:val="28BF7CF3"/>
    <w:rsid w:val="2A961A4E"/>
    <w:rsid w:val="2AA15821"/>
    <w:rsid w:val="2B695B2C"/>
    <w:rsid w:val="2C9B1FC9"/>
    <w:rsid w:val="2E826AF8"/>
    <w:rsid w:val="30E922C4"/>
    <w:rsid w:val="34972C2A"/>
    <w:rsid w:val="35497DF4"/>
    <w:rsid w:val="35CA3231"/>
    <w:rsid w:val="38F54D5D"/>
    <w:rsid w:val="3BA26CE5"/>
    <w:rsid w:val="3E9474B3"/>
    <w:rsid w:val="46B61944"/>
    <w:rsid w:val="47770825"/>
    <w:rsid w:val="47E62CA2"/>
    <w:rsid w:val="4A30453E"/>
    <w:rsid w:val="4DC048B0"/>
    <w:rsid w:val="4F636BCD"/>
    <w:rsid w:val="51306144"/>
    <w:rsid w:val="55DB1766"/>
    <w:rsid w:val="565341B3"/>
    <w:rsid w:val="58150C55"/>
    <w:rsid w:val="5C38786D"/>
    <w:rsid w:val="5CE1061F"/>
    <w:rsid w:val="5D32790A"/>
    <w:rsid w:val="5D6D661F"/>
    <w:rsid w:val="5DCD56A0"/>
    <w:rsid w:val="635E4466"/>
    <w:rsid w:val="63D21B4B"/>
    <w:rsid w:val="65950045"/>
    <w:rsid w:val="66291CDA"/>
    <w:rsid w:val="668D5E21"/>
    <w:rsid w:val="66C8194D"/>
    <w:rsid w:val="684B3EFF"/>
    <w:rsid w:val="6ADF3CA9"/>
    <w:rsid w:val="6BBF1DD6"/>
    <w:rsid w:val="6E7B2887"/>
    <w:rsid w:val="6EBF061A"/>
    <w:rsid w:val="752B08D6"/>
    <w:rsid w:val="7A1B7F10"/>
    <w:rsid w:val="7C79129A"/>
    <w:rsid w:val="7DB32670"/>
    <w:rsid w:val="7FDD18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4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paragraph" w:styleId="13">
    <w:name w:val="List Paragraph"/>
    <w:basedOn w:val="1"/>
    <w:link w:val="17"/>
    <w:qFormat/>
    <w:uiPriority w:val="34"/>
    <w:pPr>
      <w:ind w:firstLine="420" w:firstLineChars="200"/>
    </w:pPr>
  </w:style>
  <w:style w:type="character" w:customStyle="1" w:styleId="14">
    <w:name w:val="apple-converted-space"/>
    <w:basedOn w:val="11"/>
    <w:qFormat/>
    <w:uiPriority w:val="0"/>
  </w:style>
  <w:style w:type="character" w:customStyle="1" w:styleId="15">
    <w:name w:val="日期 Char"/>
    <w:basedOn w:val="11"/>
    <w:link w:val="4"/>
    <w:semiHidden/>
    <w:qFormat/>
    <w:uiPriority w:val="99"/>
  </w:style>
  <w:style w:type="character" w:customStyle="1" w:styleId="16">
    <w:name w:val="标题 2 Char"/>
    <w:basedOn w:val="11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7">
    <w:name w:val="列出段落 Char"/>
    <w:link w:val="13"/>
    <w:qFormat/>
    <w:uiPriority w:val="34"/>
  </w:style>
  <w:style w:type="character" w:customStyle="1" w:styleId="18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9">
    <w:name w:val="页脚 Char"/>
    <w:basedOn w:val="11"/>
    <w:link w:val="6"/>
    <w:qFormat/>
    <w:uiPriority w:val="99"/>
    <w:rPr>
      <w:sz w:val="18"/>
      <w:szCs w:val="18"/>
    </w:rPr>
  </w:style>
  <w:style w:type="paragraph" w:customStyle="1" w:styleId="20">
    <w:name w:val="正文1"/>
    <w:basedOn w:val="1"/>
    <w:qFormat/>
    <w:uiPriority w:val="0"/>
    <w:pPr>
      <w:widowControl/>
      <w:spacing w:after="200" w:line="300" w:lineRule="atLeast"/>
      <w:jc w:val="left"/>
    </w:pPr>
    <w:rPr>
      <w:rFonts w:ascii="Calibri" w:hAnsi="Calibri" w:cs="宋体"/>
      <w:kern w:val="0"/>
      <w:sz w:val="22"/>
    </w:rPr>
  </w:style>
  <w:style w:type="character" w:customStyle="1" w:styleId="21">
    <w:name w:val="批注框文本 Char"/>
    <w:basedOn w:val="11"/>
    <w:link w:val="5"/>
    <w:semiHidden/>
    <w:qFormat/>
    <w:uiPriority w:val="99"/>
    <w:rPr>
      <w:kern w:val="2"/>
      <w:sz w:val="18"/>
      <w:szCs w:val="18"/>
    </w:rPr>
  </w:style>
  <w:style w:type="paragraph" w:customStyle="1" w:styleId="22">
    <w:name w:val="構成"/>
    <w:link w:val="23"/>
    <w:qFormat/>
    <w:uiPriority w:val="0"/>
    <w:pPr>
      <w:numPr>
        <w:ilvl w:val="0"/>
        <w:numId w:val="1"/>
      </w:numPr>
      <w:tabs>
        <w:tab w:val="left" w:pos="1560"/>
        <w:tab w:val="left" w:pos="3544"/>
      </w:tabs>
      <w:autoSpaceDE w:val="0"/>
      <w:autoSpaceDN w:val="0"/>
      <w:textAlignment w:val="bottom"/>
    </w:pPr>
    <w:rPr>
      <w:rFonts w:ascii="Century" w:hAnsi="Century" w:eastAsia="MS PMincho" w:cs="Times New Roman"/>
      <w:sz w:val="21"/>
      <w:lang w:val="en-US" w:eastAsia="ja-JP" w:bidi="ar-SA"/>
    </w:rPr>
  </w:style>
  <w:style w:type="character" w:customStyle="1" w:styleId="23">
    <w:name w:val="構成 (文字)"/>
    <w:link w:val="22"/>
    <w:qFormat/>
    <w:uiPriority w:val="0"/>
    <w:rPr>
      <w:rFonts w:ascii="Century" w:hAnsi="Century" w:eastAsia="MS PMincho" w:cs="Times New Roman"/>
      <w:sz w:val="21"/>
      <w:lang w:eastAsia="ja-JP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Dell Computer</Company>
  <Pages>6</Pages>
  <Words>684</Words>
  <Characters>3900</Characters>
  <Lines>32</Lines>
  <Paragraphs>9</Paragraphs>
  <TotalTime>3</TotalTime>
  <ScaleCrop>false</ScaleCrop>
  <LinksUpToDate>false</LinksUpToDate>
  <CharactersWithSpaces>4575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2021-01-27T00:50:00Z</dcterms:created>
  <dc:creator>DELLPC</dc:creator>
  <cp:lastModifiedBy>田红云</cp:lastModifiedBy>
  <cp:lastPrinted>2022-02-10T00:36:02Z</cp:lastPrinted>
  <dcterms:modified xsi:type="dcterms:W3CDTF">2022-02-10T01:33:14Z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E1AD636F8DF04E17AAF0F911ED0E073D</vt:lpwstr>
  </property>
</Properties>
</file>